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D23995">
      <w:pPr>
        <w:widowControl/>
        <w:adjustRightInd w:val="0"/>
        <w:snapToGrid w:val="0"/>
        <w:spacing w:after="200" w:line="560" w:lineRule="exact"/>
        <w:jc w:val="center"/>
        <w:rPr>
          <w:rFonts w:hint="eastAsia" w:ascii="方正小标宋简体" w:eastAsia="方正小标宋简体" w:hAnsiTheme="majorEastAsia" w:cstheme="majorEastAsia"/>
          <w:b/>
          <w:kern w:val="0"/>
          <w:sz w:val="44"/>
          <w:szCs w:val="44"/>
        </w:rPr>
      </w:pPr>
      <w:r>
        <w:rPr>
          <w:rFonts w:hint="eastAsia" w:ascii="方正小标宋简体" w:eastAsia="方正小标宋简体" w:hAnsiTheme="majorEastAsia" w:cstheme="majorEastAsia"/>
          <w:b/>
          <w:kern w:val="0"/>
          <w:sz w:val="44"/>
          <w:szCs w:val="44"/>
        </w:rPr>
        <w:t>2025年度“中国好技术”双碳领域专项</w:t>
      </w:r>
    </w:p>
    <w:p w14:paraId="305F1632">
      <w:pPr>
        <w:widowControl/>
        <w:adjustRightInd w:val="0"/>
        <w:snapToGrid w:val="0"/>
        <w:spacing w:after="200" w:line="560" w:lineRule="exact"/>
        <w:jc w:val="center"/>
        <w:rPr>
          <w:rFonts w:hint="eastAsia" w:ascii="方正小标宋简体" w:eastAsia="方正小标宋简体" w:hAnsiTheme="majorEastAsia" w:cstheme="majorEastAsia"/>
          <w:b/>
          <w:kern w:val="0"/>
          <w:sz w:val="44"/>
          <w:szCs w:val="44"/>
          <w:lang w:val="en-US" w:eastAsia="zh-CN"/>
        </w:rPr>
      </w:pPr>
      <w:r>
        <w:rPr>
          <w:rFonts w:hint="eastAsia" w:ascii="方正小标宋简体" w:eastAsia="方正小标宋简体" w:hAnsiTheme="majorEastAsia" w:cstheme="majorEastAsia"/>
          <w:b/>
          <w:kern w:val="0"/>
          <w:sz w:val="44"/>
          <w:szCs w:val="44"/>
        </w:rPr>
        <w:t>征集方案</w:t>
      </w:r>
    </w:p>
    <w:p w14:paraId="029F3743">
      <w:pPr>
        <w:pStyle w:val="2"/>
        <w:numPr>
          <w:ilvl w:val="0"/>
          <w:numId w:val="1"/>
        </w:numPr>
        <w:snapToGrid w:val="0"/>
        <w:spacing w:line="360" w:lineRule="auto"/>
        <w:rPr>
          <w:rFonts w:hint="eastAsia" w:ascii="黑体" w:hAnsi="黑体" w:eastAsia="黑体" w:cs="黑体"/>
          <w:b/>
          <w:bCs/>
          <w:szCs w:val="32"/>
        </w:rPr>
      </w:pPr>
      <w:r>
        <w:rPr>
          <w:rFonts w:hint="eastAsia" w:ascii="黑体" w:hAnsi="黑体" w:eastAsia="黑体" w:cs="黑体"/>
          <w:b/>
          <w:bCs/>
          <w:szCs w:val="32"/>
        </w:rPr>
        <w:t>方案背景与目标</w:t>
      </w:r>
    </w:p>
    <w:p w14:paraId="563CF45E">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方正仿宋_GB2312" w:hAnsi="方正仿宋_GB2312" w:eastAsia="方正仿宋_GB2312" w:cs="方正仿宋_GB2312"/>
          <w:b/>
          <w:bCs/>
          <w:color w:val="auto"/>
          <w:kern w:val="2"/>
          <w:sz w:val="32"/>
          <w:szCs w:val="32"/>
          <w:lang w:val="en-US" w:eastAsia="zh-CN" w:bidi="ar-SA"/>
        </w:rPr>
      </w:pPr>
      <w:r>
        <w:rPr>
          <w:rFonts w:hint="eastAsia" w:ascii="方正仿宋_GB2312" w:hAnsi="方正仿宋_GB2312" w:eastAsia="方正仿宋_GB2312" w:cs="方正仿宋_GB2312"/>
          <w:b/>
          <w:bCs/>
          <w:color w:val="auto"/>
          <w:kern w:val="2"/>
          <w:sz w:val="32"/>
          <w:szCs w:val="32"/>
          <w:lang w:val="en-US" w:eastAsia="zh-CN" w:bidi="ar-SA"/>
        </w:rPr>
        <w:t>1.政策背景与实施进展</w:t>
      </w:r>
      <w:bookmarkStart w:id="0" w:name="_GoBack"/>
      <w:bookmarkEnd w:id="0"/>
    </w:p>
    <w:p w14:paraId="09D658B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方正仿宋_GB2312" w:hAnsi="方正仿宋_GB2312" w:eastAsia="方正仿宋_GB2312" w:cs="方正仿宋_GB2312"/>
          <w:color w:val="auto"/>
          <w:kern w:val="2"/>
          <w:sz w:val="32"/>
          <w:szCs w:val="32"/>
          <w:lang w:val="en-US" w:eastAsia="zh-CN" w:bidi="ar-SA"/>
        </w:rPr>
      </w:pPr>
      <w:r>
        <w:rPr>
          <w:rFonts w:hint="eastAsia" w:ascii="方正仿宋_GB2312" w:hAnsi="方正仿宋_GB2312" w:eastAsia="方正仿宋_GB2312" w:cs="方正仿宋_GB2312"/>
          <w:i w:val="0"/>
          <w:iCs w:val="0"/>
          <w:caps w:val="0"/>
          <w:color w:val="auto"/>
          <w:spacing w:val="0"/>
          <w:sz w:val="32"/>
          <w:szCs w:val="32"/>
          <w:shd w:val="clear"/>
        </w:rPr>
        <w:t>2026年是“十五五”规划全面实施的开局之年。</w:t>
      </w:r>
      <w:r>
        <w:rPr>
          <w:rFonts w:hint="eastAsia" w:ascii="方正仿宋_GB2312" w:hAnsi="方正仿宋_GB2312" w:eastAsia="方正仿宋_GB2312" w:cs="方正仿宋_GB2312"/>
          <w:color w:val="auto"/>
          <w:kern w:val="2"/>
          <w:sz w:val="32"/>
          <w:szCs w:val="32"/>
          <w:lang w:val="en-US" w:eastAsia="zh-CN" w:bidi="ar-SA"/>
        </w:rPr>
        <w:t>国家“十五五”规划纲要明确提出</w:t>
      </w:r>
      <w:r>
        <w:rPr>
          <w:rFonts w:hint="eastAsia" w:ascii="方正仿宋_GB2312" w:hAnsi="方正仿宋_GB2312" w:eastAsia="方正仿宋_GB2312" w:cs="方正仿宋_GB2312"/>
          <w:i w:val="0"/>
          <w:iCs w:val="0"/>
          <w:caps w:val="0"/>
          <w:color w:val="auto"/>
          <w:spacing w:val="0"/>
          <w:sz w:val="32"/>
          <w:szCs w:val="32"/>
          <w:shd w:val="clear"/>
        </w:rPr>
        <w:t>“加快经济社会发展全面绿色转型，建设美丽中国”，要求“全面实施碳排放总量和强度双控制度”，稳步推进“地方碳考核、行业碳管控、企业碳管理、项目碳评价、产品碳足迹”五位一体碳治理体系。</w:t>
      </w:r>
      <w:r>
        <w:rPr>
          <w:rFonts w:hint="eastAsia" w:ascii="方正仿宋_GB2312" w:hAnsi="方正仿宋_GB2312" w:eastAsia="方正仿宋_GB2312" w:cs="方正仿宋_GB2312"/>
          <w:color w:val="auto"/>
          <w:kern w:val="2"/>
          <w:sz w:val="32"/>
          <w:szCs w:val="32"/>
          <w:lang w:val="en-US" w:eastAsia="zh-CN" w:bidi="ar-SA"/>
        </w:rPr>
        <w:t>2026年《政府工作报告》明确单位国内生产总值二氧化碳排放降低3.8%左右。当前，全国碳市场已纳入电力、钢铁、水泥、铝冶炼四大行业，目标2027年实现工业主要行业全覆盖；国家排放因子数据库上线发布近300个因子；首批52个国家级零碳园区和零碳工厂已启动实施，“双碳”工作全面进入工程化实施与规模化推进的关键阶段。</w:t>
      </w:r>
    </w:p>
    <w:p w14:paraId="36D96B15">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leftChars="0" w:firstLine="643" w:firstLineChars="200"/>
        <w:textAlignment w:val="auto"/>
        <w:rPr>
          <w:rFonts w:hint="eastAsia" w:ascii="方正仿宋_GB2312" w:hAnsi="方正仿宋_GB2312" w:eastAsia="方正仿宋_GB2312" w:cs="方正仿宋_GB2312"/>
          <w:b/>
          <w:bCs/>
          <w:color w:val="auto"/>
          <w:kern w:val="2"/>
          <w:sz w:val="32"/>
          <w:szCs w:val="32"/>
          <w:lang w:val="en-US" w:eastAsia="zh-CN" w:bidi="ar-SA"/>
        </w:rPr>
      </w:pPr>
      <w:r>
        <w:rPr>
          <w:rFonts w:hint="eastAsia" w:ascii="方正仿宋_GB2312" w:hAnsi="方正仿宋_GB2312" w:eastAsia="方正仿宋_GB2312" w:cs="方正仿宋_GB2312"/>
          <w:b/>
          <w:bCs/>
          <w:color w:val="auto"/>
          <w:kern w:val="2"/>
          <w:sz w:val="32"/>
          <w:szCs w:val="32"/>
          <w:lang w:val="en-US" w:eastAsia="zh-CN" w:bidi="ar-SA"/>
        </w:rPr>
        <w:t>2.现实主要缺口</w:t>
      </w:r>
    </w:p>
    <w:p w14:paraId="3F12630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方正仿宋_GB2312" w:hAnsi="方正仿宋_GB2312" w:eastAsia="方正仿宋_GB2312" w:cs="方正仿宋_GB2312"/>
          <w:color w:val="auto"/>
          <w:kern w:val="2"/>
          <w:sz w:val="32"/>
          <w:szCs w:val="32"/>
          <w:lang w:val="en-US" w:eastAsia="zh-CN" w:bidi="ar-SA"/>
        </w:rPr>
      </w:pPr>
      <w:r>
        <w:rPr>
          <w:rFonts w:hint="eastAsia" w:ascii="方正仿宋_GB2312" w:hAnsi="方正仿宋_GB2312" w:eastAsia="方正仿宋_GB2312" w:cs="方正仿宋_GB2312"/>
          <w:i w:val="0"/>
          <w:iCs w:val="0"/>
          <w:caps w:val="0"/>
          <w:color w:val="auto"/>
          <w:spacing w:val="0"/>
          <w:sz w:val="32"/>
          <w:szCs w:val="32"/>
          <w:shd w:val="clear"/>
        </w:rPr>
        <w:t>对照国家碳达峰目标及《科技支撑碳达峰碳中和实施方案（2022—2030年）》</w:t>
      </w:r>
      <w:r>
        <w:rPr>
          <w:rFonts w:hint="eastAsia" w:ascii="方正仿宋_GB2312" w:hAnsi="方正仿宋_GB2312" w:eastAsia="方正仿宋_GB2312" w:cs="方正仿宋_GB2312"/>
          <w:i w:val="0"/>
          <w:iCs w:val="0"/>
          <w:caps w:val="0"/>
          <w:color w:val="auto"/>
          <w:spacing w:val="0"/>
          <w:sz w:val="32"/>
          <w:szCs w:val="32"/>
          <w:shd w:val="clear"/>
          <w:lang w:val="en-US" w:eastAsia="zh-CN"/>
        </w:rPr>
        <w:t>等</w:t>
      </w:r>
      <w:r>
        <w:rPr>
          <w:rFonts w:hint="eastAsia" w:ascii="方正仿宋_GB2312" w:hAnsi="方正仿宋_GB2312" w:eastAsia="方正仿宋_GB2312" w:cs="方正仿宋_GB2312"/>
          <w:i w:val="0"/>
          <w:iCs w:val="0"/>
          <w:caps w:val="0"/>
          <w:color w:val="auto"/>
          <w:spacing w:val="0"/>
          <w:sz w:val="32"/>
          <w:szCs w:val="32"/>
          <w:shd w:val="clear"/>
        </w:rPr>
        <w:t>要求，当前技术层面存在明显缺口：</w:t>
      </w:r>
      <w:r>
        <w:rPr>
          <w:rFonts w:hint="eastAsia" w:ascii="方正仿宋_GB2312" w:hAnsi="方正仿宋_GB2312" w:eastAsia="方正仿宋_GB2312" w:cs="方正仿宋_GB2312"/>
          <w:color w:val="auto"/>
          <w:kern w:val="2"/>
          <w:sz w:val="32"/>
          <w:szCs w:val="32"/>
          <w:lang w:val="en-US" w:eastAsia="zh-CN" w:bidi="ar-SA"/>
        </w:rPr>
        <w:t>碳排放核算缺乏在线监测、智能核算与区块链存证手段以及与之配套的基准线对比测算方法和减排效益量化评估体系；碳市场（电力、钢铁、水泥、铝冶炼等重点行业）急需实时采集、自动核算及区块链存证技术；产品碳足迹管理亟需LCA数据库、碳足迹因子库及区块链溯源能力；欧盟CBAM已正式实施，且将逐步扩大覆盖范围，亟需建立与国际接轨的碳足迹核算规则和碳标识认证制度等。</w:t>
      </w:r>
    </w:p>
    <w:p w14:paraId="00926AE6">
      <w:pPr>
        <w:keepNext w:val="0"/>
        <w:keepLines w:val="0"/>
        <w:pageBreakBefore w:val="0"/>
        <w:widowControl w:val="0"/>
        <w:numPr>
          <w:ilvl w:val="-1"/>
          <w:numId w:val="0"/>
        </w:numPr>
        <w:kinsoku/>
        <w:wordWrap/>
        <w:overflowPunct/>
        <w:topLinePunct w:val="0"/>
        <w:autoSpaceDE/>
        <w:autoSpaceDN/>
        <w:bidi w:val="0"/>
        <w:adjustRightInd w:val="0"/>
        <w:snapToGrid w:val="0"/>
        <w:spacing w:after="120" w:line="360" w:lineRule="auto"/>
        <w:ind w:left="0" w:leftChars="0" w:firstLine="643" w:firstLineChars="200"/>
        <w:textAlignment w:val="auto"/>
        <w:rPr>
          <w:rFonts w:hint="eastAsia" w:ascii="方正仿宋_GB2312" w:hAnsi="方正仿宋_GB2312" w:eastAsia="方正仿宋_GB2312" w:cs="方正仿宋_GB2312"/>
          <w:b/>
          <w:bCs/>
          <w:color w:val="auto"/>
          <w:kern w:val="2"/>
          <w:sz w:val="32"/>
          <w:szCs w:val="32"/>
          <w:highlight w:val="none"/>
          <w:lang w:val="en-US" w:eastAsia="zh-CN" w:bidi="ar-SA"/>
        </w:rPr>
      </w:pPr>
      <w:r>
        <w:rPr>
          <w:rFonts w:hint="eastAsia" w:ascii="方正仿宋_GB2312" w:hAnsi="方正仿宋_GB2312" w:eastAsia="方正仿宋_GB2312" w:cs="方正仿宋_GB2312"/>
          <w:b/>
          <w:bCs/>
          <w:color w:val="auto"/>
          <w:kern w:val="2"/>
          <w:sz w:val="32"/>
          <w:szCs w:val="32"/>
          <w:lang w:val="en-US" w:eastAsia="zh-CN" w:bidi="ar-SA"/>
        </w:rPr>
        <w:t>3.方案总体</w:t>
      </w:r>
      <w:r>
        <w:rPr>
          <w:rFonts w:hint="eastAsia" w:ascii="方正仿宋_GB2312" w:hAnsi="方正仿宋_GB2312" w:eastAsia="方正仿宋_GB2312" w:cs="方正仿宋_GB2312"/>
          <w:b/>
          <w:bCs/>
          <w:color w:val="auto"/>
          <w:kern w:val="2"/>
          <w:sz w:val="32"/>
          <w:szCs w:val="32"/>
          <w:highlight w:val="none"/>
          <w:lang w:val="en-US" w:eastAsia="zh-CN" w:bidi="ar-SA"/>
        </w:rPr>
        <w:t>目标</w:t>
      </w:r>
    </w:p>
    <w:p w14:paraId="6919B008">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textAlignment w:val="auto"/>
        <w:rPr>
          <w:rFonts w:hint="eastAsia" w:ascii="方正仿宋_GB2312" w:hAnsi="方正仿宋_GB2312" w:eastAsia="方正仿宋_GB2312" w:cs="方正仿宋_GB2312"/>
          <w:color w:val="auto"/>
          <w:kern w:val="2"/>
          <w:sz w:val="32"/>
          <w:szCs w:val="32"/>
          <w:lang w:val="en-US" w:eastAsia="zh-CN" w:bidi="ar-SA"/>
        </w:rPr>
      </w:pPr>
      <w:r>
        <w:rPr>
          <w:rFonts w:hint="eastAsia" w:ascii="方正仿宋_GB2312" w:hAnsi="方正仿宋_GB2312" w:eastAsia="方正仿宋_GB2312" w:cs="方正仿宋_GB2312"/>
          <w:color w:val="auto"/>
          <w:kern w:val="2"/>
          <w:sz w:val="32"/>
          <w:szCs w:val="32"/>
          <w:lang w:val="en-US" w:eastAsia="zh-CN" w:bidi="ar-SA"/>
        </w:rPr>
        <w:t>本专项作为“中国好技术”在双碳领域的定向征集，面向碳排放双控、碳市场扩容、碳足迹管理及CBAM实施等国家重大需求，发掘推广一批技术成熟度高、经济可行性强、</w:t>
      </w:r>
      <w:r>
        <w:rPr>
          <w:rFonts w:hint="eastAsia" w:ascii="方正仿宋_GB2312" w:hAnsi="方正仿宋_GB2312" w:eastAsia="方正仿宋_GB2312" w:cs="方正仿宋_GB2312"/>
          <w:i w:val="0"/>
          <w:iCs w:val="0"/>
          <w:caps w:val="0"/>
          <w:color w:val="auto"/>
          <w:spacing w:val="0"/>
          <w:sz w:val="32"/>
          <w:szCs w:val="32"/>
          <w:shd w:val="clear"/>
        </w:rPr>
        <w:t>减排效果可验证</w:t>
      </w:r>
      <w:r>
        <w:rPr>
          <w:rFonts w:hint="eastAsia" w:ascii="方正仿宋_GB2312" w:hAnsi="方正仿宋_GB2312" w:eastAsia="方正仿宋_GB2312" w:cs="方正仿宋_GB2312"/>
          <w:i w:val="0"/>
          <w:iCs w:val="0"/>
          <w:caps w:val="0"/>
          <w:color w:val="auto"/>
          <w:spacing w:val="0"/>
          <w:sz w:val="32"/>
          <w:szCs w:val="32"/>
          <w:shd w:val="clear"/>
          <w:lang w:eastAsia="zh-CN"/>
        </w:rPr>
        <w:t>的</w:t>
      </w:r>
      <w:r>
        <w:rPr>
          <w:rFonts w:hint="eastAsia" w:ascii="方正仿宋_GB2312" w:hAnsi="方正仿宋_GB2312" w:eastAsia="方正仿宋_GB2312" w:cs="方正仿宋_GB2312"/>
          <w:color w:val="auto"/>
          <w:kern w:val="2"/>
          <w:sz w:val="32"/>
          <w:szCs w:val="32"/>
          <w:lang w:val="en-US" w:eastAsia="zh-CN" w:bidi="ar-SA"/>
        </w:rPr>
        <w:t>低碳零碳负碳“硬科技”，</w:t>
      </w:r>
      <w:r>
        <w:rPr>
          <w:rFonts w:hint="eastAsia" w:ascii="方正仿宋_GB2312" w:hAnsi="方正仿宋_GB2312" w:eastAsia="方正仿宋_GB2312" w:cs="方正仿宋_GB2312"/>
          <w:i w:val="0"/>
          <w:iCs w:val="0"/>
          <w:caps w:val="0"/>
          <w:color w:val="auto"/>
          <w:spacing w:val="0"/>
          <w:sz w:val="32"/>
          <w:szCs w:val="32"/>
          <w:shd w:val="clear"/>
        </w:rPr>
        <w:t>赋能零碳园区、零碳工厂建设</w:t>
      </w:r>
      <w:r>
        <w:rPr>
          <w:rFonts w:hint="eastAsia" w:ascii="方正仿宋_GB2312" w:hAnsi="方正仿宋_GB2312" w:eastAsia="方正仿宋_GB2312" w:cs="方正仿宋_GB2312"/>
          <w:i w:val="0"/>
          <w:iCs w:val="0"/>
          <w:caps w:val="0"/>
          <w:color w:val="auto"/>
          <w:spacing w:val="0"/>
          <w:sz w:val="32"/>
          <w:szCs w:val="32"/>
          <w:shd w:val="clear"/>
          <w:lang w:val="en-US" w:eastAsia="zh-CN"/>
        </w:rPr>
        <w:t>等双碳工作</w:t>
      </w:r>
      <w:r>
        <w:rPr>
          <w:rFonts w:hint="eastAsia" w:ascii="方正仿宋_GB2312" w:hAnsi="方正仿宋_GB2312" w:eastAsia="方正仿宋_GB2312" w:cs="方正仿宋_GB2312"/>
          <w:i w:val="0"/>
          <w:iCs w:val="0"/>
          <w:caps w:val="0"/>
          <w:color w:val="auto"/>
          <w:spacing w:val="0"/>
          <w:sz w:val="32"/>
          <w:szCs w:val="32"/>
          <w:shd w:val="clear"/>
        </w:rPr>
        <w:t>，为“十五五”碳达峰碳中和目标提供技术支撑。</w:t>
      </w:r>
    </w:p>
    <w:p w14:paraId="25092155">
      <w:pPr>
        <w:keepNext w:val="0"/>
        <w:keepLines w:val="0"/>
        <w:pageBreakBefore w:val="0"/>
        <w:widowControl w:val="0"/>
        <w:numPr>
          <w:ilvl w:val="-1"/>
          <w:numId w:val="0"/>
        </w:numPr>
        <w:kinsoku/>
        <w:wordWrap/>
        <w:overflowPunct/>
        <w:topLinePunct w:val="0"/>
        <w:autoSpaceDE/>
        <w:autoSpaceDN/>
        <w:bidi w:val="0"/>
        <w:adjustRightInd w:val="0"/>
        <w:snapToGrid w:val="0"/>
        <w:spacing w:after="0" w:line="360" w:lineRule="auto"/>
        <w:ind w:left="0" w:leftChars="0" w:firstLine="643" w:firstLineChars="200"/>
        <w:textAlignment w:val="auto"/>
        <w:rPr>
          <w:rFonts w:hint="eastAsia" w:ascii="方正仿宋_GB2312" w:hAnsi="方正仿宋_GB2312" w:eastAsia="方正仿宋_GB2312" w:cs="方正仿宋_GB2312"/>
          <w:b/>
          <w:bCs/>
          <w:color w:val="auto"/>
          <w:kern w:val="2"/>
          <w:sz w:val="32"/>
          <w:szCs w:val="32"/>
          <w:lang w:val="en-US" w:eastAsia="zh-CN" w:bidi="ar-SA"/>
        </w:rPr>
      </w:pPr>
      <w:r>
        <w:rPr>
          <w:rFonts w:hint="eastAsia" w:ascii="方正仿宋_GB2312" w:hAnsi="方正仿宋_GB2312" w:eastAsia="方正仿宋_GB2312" w:cs="方正仿宋_GB2312"/>
          <w:b/>
          <w:bCs/>
          <w:color w:val="auto"/>
          <w:kern w:val="2"/>
          <w:sz w:val="32"/>
          <w:szCs w:val="32"/>
          <w:lang w:val="en-US" w:eastAsia="zh-CN" w:bidi="ar-SA"/>
        </w:rPr>
        <w:t>4.编制主要依据</w:t>
      </w:r>
    </w:p>
    <w:p w14:paraId="6A3D7902">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（1）《中共中央 国务院关于完整准确全面贯彻新发展理念做好碳达峰碳中和工作的意见》—统领碳达峰碳中和工作的顶层纲领性文件。</w:t>
      </w:r>
    </w:p>
    <w:p w14:paraId="7082CC05">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（2）《中共中央关于进一步全面深化改革 推进中国式现代化的决定》—最高改革纲领，将绿色低碳发展及碳达峰碳中和纳入全面深化改革总体布局。</w:t>
      </w:r>
    </w:p>
    <w:p w14:paraId="7EE57907">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（3）《中共中央办公厅 国务院办公厅关于推进绿色低碳转型加强全国碳市场建设的意见》—聚焦碳市场建设与绿色低碳转型，是碳定价机制的核心政策依据。</w:t>
      </w:r>
    </w:p>
    <w:p w14:paraId="56219B42">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（4）《中华人民共和国国民经济和社会发展第十五个五年规划纲要》—国家法定规划，首次将碳排放强度降低作为约束性指标，全面部署碳排放双控制度。</w:t>
      </w:r>
    </w:p>
    <w:p w14:paraId="44EA9922">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（5）2026年《政府工作报告》—明确当年碳达峰碳中和具体目标及碳排放双控具体安排。</w:t>
      </w:r>
    </w:p>
    <w:p w14:paraId="0EFC69EC">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（6）《加快构建碳排放双控制度体系工作方案》（国办发〔2024〕39号）—碳排放双控制度的操作性文件，明确碳排放强度作为约束性指标。</w:t>
      </w:r>
    </w:p>
    <w:p w14:paraId="715CED37">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（7）《完善碳排放统计核算体系工作方案》（发改环资〔2024〕1479号）—为碳排放双控及碳市场提供核算基础支撑性文件。</w:t>
      </w:r>
    </w:p>
    <w:p w14:paraId="3BF03E71">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（8）《科技支撑碳达峰碳中和实施方案（2022—2030年）》（国科发社〔2022〕157号）—明确碳减排、碳捕集、零碳能源等关键技术攻关方向。</w:t>
      </w:r>
    </w:p>
    <w:p w14:paraId="24BE1556">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（9）《国家重点低碳技术征集推广实施方案》（环办气候〔2024〕2号）—低碳技术征集与推广。</w:t>
      </w:r>
    </w:p>
    <w:p w14:paraId="49E5BBED">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（10）《全国碳排放权交易市场覆盖钢铁、水泥、铝冶炼行业工作方案》（环气候〔2025〕23号）—碳市场扩围，重点行业纳入碳市场。</w:t>
      </w:r>
    </w:p>
    <w:p w14:paraId="27950FEA">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firstLine="640" w:firstLineChars="200"/>
        <w:textAlignment w:val="auto"/>
        <w:rPr>
          <w:rFonts w:hint="eastAsia" w:ascii="方正仿宋_GB2312" w:hAnsi="方正仿宋_GB2312" w:eastAsia="方正仿宋_GB2312" w:cs="方正仿宋_GB2312"/>
          <w:b w:val="0"/>
          <w:bCs w:val="0"/>
          <w:color w:val="auto"/>
          <w:kern w:val="2"/>
          <w:sz w:val="32"/>
          <w:szCs w:val="32"/>
          <w:highlight w:val="none"/>
          <w:lang w:val="en-US" w:eastAsia="zh-CN" w:bidi="ar-SA"/>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（11）《国家应对气候变化标准体系建设方案》（环气候〔2025〕40号）—支撑碳核算、碳足迹、碳管理等标准化工作的基础文件。</w:t>
      </w:r>
    </w:p>
    <w:p w14:paraId="02786705">
      <w:pPr>
        <w:widowControl w:val="0"/>
        <w:numPr>
          <w:ilvl w:val="0"/>
          <w:numId w:val="0"/>
        </w:numPr>
        <w:adjustRightInd w:val="0"/>
        <w:snapToGrid w:val="0"/>
        <w:spacing w:after="0" w:line="360" w:lineRule="auto"/>
        <w:ind w:firstLine="640" w:firstLineChars="200"/>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b w:val="0"/>
          <w:bCs w:val="0"/>
          <w:color w:val="auto"/>
          <w:kern w:val="2"/>
          <w:sz w:val="32"/>
          <w:szCs w:val="32"/>
          <w:highlight w:val="none"/>
          <w:lang w:val="en-US" w:eastAsia="zh-CN" w:bidi="ar-SA"/>
        </w:rPr>
        <w:t>（12）中国生产力促进中心协会《关于征集2025年度“中国好技术”的通知》—本专项的组织依据，明确双碳领域技术征集范围及入库流程，入选项目纳入“中国好技术”项目库并享受后续服务</w:t>
      </w:r>
      <w:r>
        <w:rPr>
          <w:rFonts w:hint="eastAsia" w:ascii="方正仿宋_GB2312" w:hAnsi="方正仿宋_GB2312" w:eastAsia="方正仿宋_GB2312" w:cs="方正仿宋_GB2312"/>
          <w:color w:val="auto"/>
          <w:kern w:val="2"/>
          <w:sz w:val="32"/>
          <w:szCs w:val="32"/>
          <w:highlight w:val="none"/>
          <w:lang w:val="en-US" w:eastAsia="zh-CN" w:bidi="ar-SA"/>
        </w:rPr>
        <w:t>。</w:t>
      </w:r>
    </w:p>
    <w:p w14:paraId="225E8606">
      <w:pPr>
        <w:pStyle w:val="2"/>
        <w:numPr>
          <w:ilvl w:val="0"/>
          <w:numId w:val="1"/>
        </w:numPr>
        <w:topLinePunct w:val="0"/>
        <w:snapToGrid w:val="0"/>
        <w:spacing w:line="360" w:lineRule="auto"/>
        <w:ind w:left="0" w:leftChars="0" w:firstLine="0" w:firstLineChars="0"/>
        <w:rPr>
          <w:rFonts w:hint="eastAsia" w:ascii="黑体" w:hAnsi="黑体" w:eastAsia="黑体" w:cs="黑体"/>
          <w:b/>
          <w:bCs/>
          <w:sz w:val="32"/>
          <w:szCs w:val="32"/>
        </w:rPr>
      </w:pPr>
      <w:r>
        <w:rPr>
          <w:rFonts w:hint="eastAsia" w:ascii="黑体" w:hAnsi="黑体" w:eastAsia="黑体" w:cs="黑体"/>
          <w:b/>
          <w:bCs/>
          <w:sz w:val="32"/>
          <w:szCs w:val="32"/>
        </w:rPr>
        <w:t>征集技术领域</w:t>
      </w:r>
      <w:r>
        <w:rPr>
          <w:rFonts w:hint="eastAsia" w:ascii="黑体" w:hAnsi="黑体" w:cs="黑体"/>
          <w:b/>
          <w:bCs/>
          <w:sz w:val="32"/>
          <w:szCs w:val="32"/>
          <w:lang w:eastAsia="zh-CN"/>
        </w:rPr>
        <w:t>（</w:t>
      </w:r>
      <w:r>
        <w:rPr>
          <w:rFonts w:hint="eastAsia" w:ascii="黑体" w:hAnsi="黑体" w:cs="黑体"/>
          <w:b/>
          <w:bCs/>
          <w:sz w:val="32"/>
          <w:szCs w:val="32"/>
          <w:lang w:val="en-US" w:eastAsia="zh-CN"/>
        </w:rPr>
        <w:t>碳治理、碳管理</w:t>
      </w:r>
      <w:r>
        <w:rPr>
          <w:rFonts w:hint="eastAsia" w:ascii="黑体" w:hAnsi="黑体" w:cs="黑体"/>
          <w:b/>
          <w:bCs/>
          <w:sz w:val="32"/>
          <w:szCs w:val="32"/>
          <w:lang w:eastAsia="zh-CN"/>
        </w:rPr>
        <w:t>）</w:t>
      </w:r>
    </w:p>
    <w:p w14:paraId="6A16EBB9">
      <w:pPr>
        <w:numPr>
          <w:ilvl w:val="0"/>
          <w:numId w:val="0"/>
        </w:numPr>
        <w:adjustRightInd w:val="0"/>
        <w:snapToGrid w:val="0"/>
        <w:spacing w:line="360" w:lineRule="auto"/>
        <w:ind w:firstLine="640" w:firstLineChars="200"/>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rPr>
        <w:t>本次征集聚焦碳治理与碳管理两大维度，</w:t>
      </w:r>
      <w:r>
        <w:rPr>
          <w:rFonts w:hint="eastAsia" w:ascii="方正仿宋_GB2312" w:hAnsi="方正仿宋_GB2312" w:eastAsia="方正仿宋_GB2312" w:cs="方正仿宋_GB2312"/>
          <w:i w:val="0"/>
          <w:iCs w:val="0"/>
          <w:caps w:val="0"/>
          <w:color w:val="auto"/>
          <w:spacing w:val="0"/>
          <w:sz w:val="32"/>
          <w:szCs w:val="32"/>
          <w:highlight w:val="none"/>
          <w:shd w:val="clear"/>
          <w:lang w:val="en-US" w:eastAsia="zh-CN"/>
        </w:rPr>
        <w:t>按照科技部、国家发改委等</w:t>
      </w:r>
      <w:r>
        <w:rPr>
          <w:rFonts w:hint="eastAsia" w:ascii="方正仿宋_GB2312" w:hAnsi="方正仿宋_GB2312" w:eastAsia="方正仿宋_GB2312" w:cs="方正仿宋_GB2312"/>
          <w:i w:val="0"/>
          <w:iCs w:val="0"/>
          <w:caps w:val="0"/>
          <w:color w:val="auto"/>
          <w:spacing w:val="0"/>
          <w:sz w:val="32"/>
          <w:szCs w:val="32"/>
          <w:highlight w:val="none"/>
          <w:shd w:val="clear"/>
        </w:rPr>
        <w:t>五部委《国家重点推广的低碳技术目录（第五批）》</w:t>
      </w:r>
      <w:r>
        <w:rPr>
          <w:rFonts w:hint="eastAsia" w:ascii="方正仿宋_GB2312" w:hAnsi="方正仿宋_GB2312" w:eastAsia="方正仿宋_GB2312" w:cs="方正仿宋_GB2312"/>
          <w:i w:val="0"/>
          <w:iCs w:val="0"/>
          <w:caps w:val="0"/>
          <w:color w:val="auto"/>
          <w:spacing w:val="0"/>
          <w:sz w:val="32"/>
          <w:szCs w:val="32"/>
          <w:highlight w:val="none"/>
          <w:shd w:val="clear"/>
          <w:lang w:val="en-US" w:eastAsia="zh-CN"/>
        </w:rPr>
        <w:t>所列的</w:t>
      </w:r>
      <w:r>
        <w:rPr>
          <w:rFonts w:hint="eastAsia" w:ascii="方正仿宋_GB2312" w:hAnsi="方正仿宋_GB2312" w:eastAsia="方正仿宋_GB2312" w:cs="方正仿宋_GB2312"/>
          <w:i w:val="0"/>
          <w:iCs w:val="0"/>
          <w:caps w:val="0"/>
          <w:color w:val="auto"/>
          <w:spacing w:val="0"/>
          <w:sz w:val="32"/>
          <w:szCs w:val="32"/>
          <w:highlight w:val="none"/>
          <w:shd w:val="clear"/>
        </w:rPr>
        <w:t>五大方向（能源绿色低碳转型、重点领域降碳、储碳固碳、数智赋能、非二氧化碳减排）</w:t>
      </w:r>
      <w:r>
        <w:rPr>
          <w:rFonts w:hint="eastAsia" w:ascii="方正仿宋_GB2312" w:hAnsi="方正仿宋_GB2312" w:eastAsia="方正仿宋_GB2312" w:cs="方正仿宋_GB2312"/>
          <w:i w:val="0"/>
          <w:iCs w:val="0"/>
          <w:caps w:val="0"/>
          <w:color w:val="auto"/>
          <w:spacing w:val="0"/>
          <w:sz w:val="32"/>
          <w:szCs w:val="32"/>
          <w:highlight w:val="none"/>
          <w:shd w:val="clear"/>
          <w:lang w:eastAsia="zh-CN"/>
        </w:rPr>
        <w:t>，</w:t>
      </w:r>
      <w:r>
        <w:rPr>
          <w:rFonts w:hint="eastAsia" w:ascii="方正仿宋_GB2312" w:hAnsi="方正仿宋_GB2312" w:eastAsia="方正仿宋_GB2312" w:cs="方正仿宋_GB2312"/>
          <w:i w:val="0"/>
          <w:iCs w:val="0"/>
          <w:caps w:val="0"/>
          <w:color w:val="auto"/>
          <w:spacing w:val="0"/>
          <w:sz w:val="32"/>
          <w:szCs w:val="32"/>
          <w:highlight w:val="none"/>
          <w:shd w:val="clear"/>
          <w:lang w:val="en-US" w:eastAsia="zh-CN"/>
        </w:rPr>
        <w:t>细分</w:t>
      </w:r>
      <w:r>
        <w:rPr>
          <w:rFonts w:hint="eastAsia" w:ascii="方正仿宋_GB2312" w:hAnsi="方正仿宋_GB2312" w:eastAsia="方正仿宋_GB2312" w:cs="方正仿宋_GB2312"/>
          <w:color w:val="auto"/>
          <w:sz w:val="32"/>
          <w:szCs w:val="32"/>
          <w:highlight w:val="none"/>
        </w:rPr>
        <w:t>六个板块</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其中板块一（基础能力）和板块二（横向赋能）为核心</w:t>
      </w:r>
      <w:r>
        <w:rPr>
          <w:rFonts w:hint="eastAsia" w:ascii="方正仿宋_GB2312" w:hAnsi="方正仿宋_GB2312" w:eastAsia="方正仿宋_GB2312" w:cs="方正仿宋_GB2312"/>
          <w:color w:val="auto"/>
          <w:sz w:val="32"/>
          <w:szCs w:val="32"/>
          <w:highlight w:val="none"/>
          <w:lang w:val="en-US" w:eastAsia="zh-CN"/>
        </w:rPr>
        <w:t>支撑</w:t>
      </w:r>
      <w:r>
        <w:rPr>
          <w:rFonts w:hint="eastAsia" w:ascii="方正仿宋_GB2312" w:hAnsi="方正仿宋_GB2312" w:eastAsia="方正仿宋_GB2312" w:cs="方正仿宋_GB2312"/>
          <w:color w:val="auto"/>
          <w:sz w:val="32"/>
          <w:szCs w:val="32"/>
          <w:highlight w:val="none"/>
        </w:rPr>
        <w:t>，板块三至板块六</w:t>
      </w:r>
      <w:r>
        <w:rPr>
          <w:rFonts w:hint="eastAsia" w:ascii="方正仿宋_GB2312" w:hAnsi="方正仿宋_GB2312" w:eastAsia="方正仿宋_GB2312" w:cs="方正仿宋_GB2312"/>
          <w:color w:val="auto"/>
          <w:sz w:val="32"/>
          <w:szCs w:val="32"/>
          <w:highlight w:val="none"/>
          <w:lang w:val="en-US" w:eastAsia="zh-CN"/>
        </w:rPr>
        <w:t>为</w:t>
      </w:r>
      <w:r>
        <w:rPr>
          <w:rFonts w:hint="eastAsia" w:ascii="方正仿宋_GB2312" w:hAnsi="方正仿宋_GB2312" w:eastAsia="方正仿宋_GB2312" w:cs="方正仿宋_GB2312"/>
          <w:color w:val="auto"/>
          <w:sz w:val="32"/>
          <w:szCs w:val="32"/>
          <w:highlight w:val="none"/>
        </w:rPr>
        <w:t>碳治理或碳管理中的</w:t>
      </w:r>
      <w:r>
        <w:rPr>
          <w:rFonts w:hint="eastAsia" w:ascii="方正仿宋_GB2312" w:hAnsi="方正仿宋_GB2312" w:eastAsia="方正仿宋_GB2312" w:cs="方正仿宋_GB2312"/>
          <w:color w:val="auto"/>
          <w:sz w:val="32"/>
          <w:szCs w:val="32"/>
          <w:highlight w:val="none"/>
          <w:lang w:val="en-US" w:eastAsia="zh-CN"/>
        </w:rPr>
        <w:t>具体</w:t>
      </w:r>
      <w:r>
        <w:rPr>
          <w:rFonts w:hint="eastAsia" w:ascii="方正仿宋_GB2312" w:hAnsi="方正仿宋_GB2312" w:eastAsia="方正仿宋_GB2312" w:cs="方正仿宋_GB2312"/>
          <w:color w:val="auto"/>
          <w:sz w:val="32"/>
          <w:szCs w:val="32"/>
          <w:highlight w:val="none"/>
        </w:rPr>
        <w:t>支撑。</w:t>
      </w:r>
    </w:p>
    <w:p w14:paraId="21350168">
      <w:pPr>
        <w:pStyle w:val="11"/>
        <w:numPr>
          <w:ilvl w:val="0"/>
          <w:numId w:val="0"/>
        </w:numPr>
        <w:snapToGrid w:val="0"/>
        <w:spacing w:line="360" w:lineRule="auto"/>
        <w:ind w:firstLine="640"/>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板块一：基础能力（核算监测</w:t>
      </w:r>
      <w:r>
        <w:rPr>
          <w:rFonts w:hint="eastAsia" w:ascii="方正仿宋_GB2312" w:hAnsi="方正仿宋_GB2312" w:eastAsia="方正仿宋_GB2312" w:cs="方正仿宋_GB2312"/>
          <w:b/>
          <w:bCs/>
          <w:sz w:val="32"/>
          <w:szCs w:val="32"/>
          <w:lang w:val="en-US" w:eastAsia="zh-CN"/>
        </w:rPr>
        <w:t>-摸清家底、量化管控</w:t>
      </w:r>
      <w:r>
        <w:rPr>
          <w:rFonts w:hint="eastAsia" w:ascii="方正仿宋_GB2312" w:hAnsi="方正仿宋_GB2312" w:eastAsia="方正仿宋_GB2312" w:cs="方正仿宋_GB2312"/>
          <w:b/>
          <w:bCs/>
          <w:sz w:val="32"/>
          <w:szCs w:val="32"/>
          <w:lang w:eastAsia="zh-CN"/>
        </w:rPr>
        <w:t>）</w:t>
      </w:r>
    </w:p>
    <w:p w14:paraId="1621E318">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1.</w:t>
      </w:r>
      <w:r>
        <w:rPr>
          <w:rFonts w:hint="eastAsia" w:ascii="方正仿宋_GB2312" w:hAnsi="方正仿宋_GB2312" w:eastAsia="方正仿宋_GB2312" w:cs="方正仿宋_GB2312"/>
          <w:b w:val="0"/>
          <w:bCs w:val="0"/>
          <w:sz w:val="32"/>
          <w:szCs w:val="32"/>
          <w:lang w:eastAsia="zh-CN"/>
        </w:rPr>
        <w:t>碳排放核算与监测：碳监测（卫星/无人机/激光雷达/光谱）；核算系统（企业/产品/</w:t>
      </w:r>
      <w:r>
        <w:rPr>
          <w:rFonts w:hint="eastAsia" w:ascii="方正仿宋_GB2312" w:hAnsi="方正仿宋_GB2312" w:eastAsia="方正仿宋_GB2312" w:cs="方正仿宋_GB2312"/>
          <w:b w:val="0"/>
          <w:bCs w:val="0"/>
          <w:sz w:val="32"/>
          <w:szCs w:val="32"/>
          <w:lang w:val="en-US" w:eastAsia="zh-CN"/>
        </w:rPr>
        <w:t>行业/项目/L</w:t>
      </w:r>
      <w:r>
        <w:rPr>
          <w:rFonts w:hint="eastAsia" w:ascii="方正仿宋_GB2312" w:hAnsi="方正仿宋_GB2312" w:eastAsia="方正仿宋_GB2312" w:cs="方正仿宋_GB2312"/>
          <w:b w:val="0"/>
          <w:bCs w:val="0"/>
          <w:sz w:val="32"/>
          <w:szCs w:val="32"/>
          <w:lang w:eastAsia="zh-CN"/>
        </w:rPr>
        <w:t>CA/因子库）；智慧管理（大数据/区块链/碳资产/碳交易</w:t>
      </w:r>
      <w:r>
        <w:rPr>
          <w:rFonts w:hint="eastAsia" w:ascii="方正仿宋_GB2312" w:hAnsi="方正仿宋_GB2312" w:eastAsia="方正仿宋_GB2312" w:cs="方正仿宋_GB2312"/>
          <w:b w:val="0"/>
          <w:bCs w:val="0"/>
          <w:sz w:val="32"/>
          <w:szCs w:val="32"/>
          <w:lang w:val="en-US" w:eastAsia="zh-CN"/>
        </w:rPr>
        <w:t>/各级政府碳考核/行业碳管控</w:t>
      </w:r>
      <w:r>
        <w:rPr>
          <w:rFonts w:hint="eastAsia" w:ascii="方正仿宋_GB2312" w:hAnsi="方正仿宋_GB2312" w:eastAsia="方正仿宋_GB2312" w:cs="方正仿宋_GB2312"/>
          <w:b w:val="0"/>
          <w:bCs w:val="0"/>
          <w:sz w:val="32"/>
          <w:szCs w:val="32"/>
          <w:lang w:eastAsia="zh-CN"/>
        </w:rPr>
        <w:t>）；</w:t>
      </w:r>
    </w:p>
    <w:p w14:paraId="0ED268E2">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2.</w:t>
      </w:r>
      <w:r>
        <w:rPr>
          <w:rFonts w:hint="eastAsia" w:ascii="方正仿宋_GB2312" w:hAnsi="方正仿宋_GB2312" w:eastAsia="方正仿宋_GB2312" w:cs="方正仿宋_GB2312"/>
          <w:b w:val="0"/>
          <w:bCs w:val="0"/>
          <w:sz w:val="32"/>
          <w:szCs w:val="32"/>
          <w:lang w:eastAsia="zh-CN"/>
        </w:rPr>
        <w:t>计量</w:t>
      </w:r>
      <w:r>
        <w:rPr>
          <w:rFonts w:hint="eastAsia" w:ascii="方正仿宋_GB2312" w:hAnsi="方正仿宋_GB2312" w:eastAsia="方正仿宋_GB2312" w:cs="方正仿宋_GB2312"/>
          <w:b w:val="0"/>
          <w:bCs w:val="0"/>
          <w:sz w:val="32"/>
          <w:szCs w:val="32"/>
          <w:lang w:val="en-US" w:eastAsia="zh-CN"/>
        </w:rPr>
        <w:t>与认证：</w:t>
      </w:r>
      <w:r>
        <w:rPr>
          <w:rFonts w:hint="eastAsia" w:ascii="方正仿宋_GB2312" w:hAnsi="方正仿宋_GB2312" w:eastAsia="方正仿宋_GB2312" w:cs="方正仿宋_GB2312"/>
          <w:b w:val="0"/>
          <w:bCs w:val="0"/>
          <w:sz w:val="32"/>
          <w:szCs w:val="32"/>
          <w:lang w:eastAsia="zh-CN"/>
        </w:rPr>
        <w:t>标准装置/在线校准/直测；</w:t>
      </w:r>
      <w:r>
        <w:rPr>
          <w:rFonts w:hint="eastAsia" w:ascii="方正仿宋_GB2312" w:hAnsi="方正仿宋_GB2312" w:eastAsia="方正仿宋_GB2312" w:cs="方正仿宋_GB2312"/>
          <w:b w:val="0"/>
          <w:bCs w:val="0"/>
          <w:sz w:val="32"/>
          <w:szCs w:val="32"/>
          <w:lang w:val="en-US" w:eastAsia="zh-CN"/>
        </w:rPr>
        <w:t>产品碳足迹/碳标签；项目碳评价/碳减排量核证</w:t>
      </w:r>
      <w:r>
        <w:rPr>
          <w:rFonts w:hint="eastAsia" w:ascii="方正仿宋_GB2312" w:hAnsi="方正仿宋_GB2312" w:eastAsia="方正仿宋_GB2312" w:cs="方正仿宋_GB2312"/>
          <w:b w:val="0"/>
          <w:bCs w:val="0"/>
          <w:sz w:val="32"/>
          <w:szCs w:val="32"/>
          <w:lang w:eastAsia="zh-CN"/>
        </w:rPr>
        <w:t>；</w:t>
      </w:r>
    </w:p>
    <w:p w14:paraId="776B32BA">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3.</w:t>
      </w:r>
      <w:r>
        <w:rPr>
          <w:rFonts w:hint="eastAsia" w:ascii="方正仿宋_GB2312" w:hAnsi="方正仿宋_GB2312" w:eastAsia="方正仿宋_GB2312" w:cs="方正仿宋_GB2312"/>
          <w:b w:val="0"/>
          <w:bCs w:val="0"/>
          <w:sz w:val="32"/>
          <w:szCs w:val="32"/>
          <w:lang w:eastAsia="zh-CN"/>
        </w:rPr>
        <w:t>碳数据质量保障：碳足迹数据质量评估、数据溯源与审计技术。</w:t>
      </w:r>
    </w:p>
    <w:p w14:paraId="3CF94313">
      <w:pPr>
        <w:pStyle w:val="11"/>
        <w:numPr>
          <w:ilvl w:val="-1"/>
          <w:numId w:val="0"/>
        </w:numPr>
        <w:tabs>
          <w:tab w:val="left" w:pos="6678"/>
        </w:tabs>
        <w:snapToGrid w:val="0"/>
        <w:spacing w:line="360" w:lineRule="auto"/>
        <w:ind w:firstLine="643" w:firstLineChars="200"/>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板块</w:t>
      </w:r>
      <w:r>
        <w:rPr>
          <w:rFonts w:hint="eastAsia" w:ascii="方正仿宋_GB2312" w:hAnsi="方正仿宋_GB2312" w:eastAsia="方正仿宋_GB2312" w:cs="方正仿宋_GB2312"/>
          <w:b/>
          <w:bCs/>
          <w:sz w:val="32"/>
          <w:szCs w:val="32"/>
          <w:lang w:val="en-US" w:eastAsia="zh-CN"/>
        </w:rPr>
        <w:t>二</w:t>
      </w:r>
      <w:r>
        <w:rPr>
          <w:rFonts w:hint="eastAsia" w:ascii="方正仿宋_GB2312" w:hAnsi="方正仿宋_GB2312" w:eastAsia="方正仿宋_GB2312" w:cs="方正仿宋_GB2312"/>
          <w:b/>
          <w:bCs/>
          <w:sz w:val="32"/>
          <w:szCs w:val="32"/>
          <w:lang w:eastAsia="zh-CN"/>
        </w:rPr>
        <w:t>：横向赋能（数智驱动碳管理）</w:t>
      </w:r>
    </w:p>
    <w:p w14:paraId="03CDF6FC">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1.数智化技术</w:t>
      </w:r>
    </w:p>
    <w:p w14:paraId="7BA69FDF">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（1）数智赋能技术</w:t>
      </w:r>
    </w:p>
    <w:p w14:paraId="52D49CBF">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AI大模型：负荷预测、碳排放预测、智能排产</w:t>
      </w:r>
      <w:r>
        <w:rPr>
          <w:rFonts w:hint="eastAsia" w:ascii="方正仿宋_GB2312" w:hAnsi="方正仿宋_GB2312" w:eastAsia="方正仿宋_GB2312" w:cs="方正仿宋_GB2312"/>
          <w:b w:val="0"/>
          <w:bCs w:val="0"/>
          <w:sz w:val="32"/>
          <w:szCs w:val="32"/>
          <w:lang w:eastAsia="zh-CN"/>
        </w:rPr>
        <w:t>；</w:t>
      </w:r>
    </w:p>
    <w:p w14:paraId="4780BF32">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物联网：智能传感器、数字孪生、低功耗无线自组网通信；</w:t>
      </w:r>
    </w:p>
    <w:p w14:paraId="140FD190">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区块链：碳数据存证、确权、溯源</w:t>
      </w:r>
      <w:r>
        <w:rPr>
          <w:rFonts w:hint="eastAsia" w:ascii="方正仿宋_GB2312" w:hAnsi="方正仿宋_GB2312" w:eastAsia="方正仿宋_GB2312" w:cs="方正仿宋_GB2312"/>
          <w:b w:val="0"/>
          <w:bCs w:val="0"/>
          <w:sz w:val="32"/>
          <w:szCs w:val="32"/>
          <w:lang w:eastAsia="zh-CN"/>
        </w:rPr>
        <w:t>；</w:t>
      </w:r>
    </w:p>
    <w:p w14:paraId="7E82F460">
      <w:pPr>
        <w:pStyle w:val="11"/>
        <w:numPr>
          <w:ilvl w:val="-1"/>
          <w:numId w:val="0"/>
        </w:numPr>
        <w:tabs>
          <w:tab w:val="left" w:pos="6782"/>
        </w:tabs>
        <w:snapToGrid w:val="0"/>
        <w:spacing w:line="360" w:lineRule="auto"/>
        <w:ind w:firstLine="640" w:firstLineChars="200"/>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工业元宇宙：虚拟工厂、远程运维</w:t>
      </w:r>
      <w:r>
        <w:rPr>
          <w:rFonts w:hint="eastAsia" w:ascii="方正仿宋_GB2312" w:hAnsi="方正仿宋_GB2312" w:eastAsia="方正仿宋_GB2312" w:cs="方正仿宋_GB2312"/>
          <w:b w:val="0"/>
          <w:bCs w:val="0"/>
          <w:sz w:val="32"/>
          <w:szCs w:val="32"/>
          <w:lang w:eastAsia="zh-CN"/>
        </w:rPr>
        <w:t>；</w:t>
      </w:r>
    </w:p>
    <w:p w14:paraId="48350E65">
      <w:pPr>
        <w:pStyle w:val="11"/>
        <w:numPr>
          <w:ilvl w:val="-1"/>
          <w:numId w:val="0"/>
        </w:numPr>
        <w:tabs>
          <w:tab w:val="left" w:pos="6678"/>
        </w:tabs>
        <w:snapToGrid w:val="0"/>
        <w:spacing w:line="360" w:lineRule="auto"/>
        <w:ind w:firstLine="640" w:firstLineChars="20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eastAsia="zh-CN"/>
        </w:rPr>
        <w:t>（</w:t>
      </w:r>
      <w:r>
        <w:rPr>
          <w:rFonts w:hint="eastAsia" w:ascii="方正仿宋_GB2312" w:hAnsi="方正仿宋_GB2312" w:eastAsia="方正仿宋_GB2312" w:cs="方正仿宋_GB2312"/>
          <w:b w:val="0"/>
          <w:bCs w:val="0"/>
          <w:sz w:val="32"/>
          <w:szCs w:val="32"/>
          <w:lang w:val="en-US" w:eastAsia="zh-CN"/>
        </w:rPr>
        <w:t>2</w:t>
      </w:r>
      <w:r>
        <w:rPr>
          <w:rFonts w:hint="eastAsia" w:ascii="方正仿宋_GB2312" w:hAnsi="方正仿宋_GB2312" w:eastAsia="方正仿宋_GB2312" w:cs="方正仿宋_GB2312"/>
          <w:b w:val="0"/>
          <w:bCs w:val="0"/>
          <w:sz w:val="32"/>
          <w:szCs w:val="32"/>
          <w:lang w:eastAsia="zh-CN"/>
        </w:rPr>
        <w:t>）电力-算力协同：数据中心园区综合能量管理、虚拟电厂、智能微电网；</w:t>
      </w:r>
    </w:p>
    <w:p w14:paraId="098676C1">
      <w:pPr>
        <w:pStyle w:val="11"/>
        <w:numPr>
          <w:ilvl w:val="-1"/>
          <w:numId w:val="0"/>
        </w:numPr>
        <w:tabs>
          <w:tab w:val="left" w:pos="6678"/>
        </w:tabs>
        <w:snapToGrid w:val="0"/>
        <w:spacing w:line="360" w:lineRule="auto"/>
        <w:ind w:firstLine="640" w:firstLineChars="20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2.</w:t>
      </w:r>
      <w:r>
        <w:rPr>
          <w:rFonts w:hint="eastAsia" w:ascii="方正仿宋_GB2312" w:hAnsi="方正仿宋_GB2312" w:eastAsia="方正仿宋_GB2312" w:cs="方正仿宋_GB2312"/>
          <w:b w:val="0"/>
          <w:bCs w:val="0"/>
          <w:sz w:val="32"/>
          <w:szCs w:val="32"/>
          <w:lang w:eastAsia="zh-CN"/>
        </w:rPr>
        <w:t>碳管理服务与市场支撑</w:t>
      </w:r>
    </w:p>
    <w:p w14:paraId="55B94086">
      <w:pPr>
        <w:pStyle w:val="11"/>
        <w:numPr>
          <w:ilvl w:val="-1"/>
          <w:numId w:val="0"/>
        </w:numPr>
        <w:tabs>
          <w:tab w:val="left" w:pos="6678"/>
        </w:tabs>
        <w:snapToGrid w:val="0"/>
        <w:spacing w:line="360" w:lineRule="auto"/>
        <w:ind w:firstLine="640" w:firstLineChars="20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eastAsia="zh-CN"/>
        </w:rPr>
        <w:t>（</w:t>
      </w:r>
      <w:r>
        <w:rPr>
          <w:rFonts w:hint="eastAsia" w:ascii="方正仿宋_GB2312" w:hAnsi="方正仿宋_GB2312" w:eastAsia="方正仿宋_GB2312" w:cs="方正仿宋_GB2312"/>
          <w:b w:val="0"/>
          <w:bCs w:val="0"/>
          <w:sz w:val="32"/>
          <w:szCs w:val="32"/>
          <w:lang w:val="en-US" w:eastAsia="zh-CN"/>
        </w:rPr>
        <w:t>1</w:t>
      </w:r>
      <w:r>
        <w:rPr>
          <w:rFonts w:hint="eastAsia" w:ascii="方正仿宋_GB2312" w:hAnsi="方正仿宋_GB2312" w:eastAsia="方正仿宋_GB2312" w:cs="方正仿宋_GB2312"/>
          <w:b w:val="0"/>
          <w:bCs w:val="0"/>
          <w:sz w:val="32"/>
          <w:szCs w:val="32"/>
          <w:lang w:eastAsia="zh-CN"/>
        </w:rPr>
        <w:t>）碳资产管理与交易服务：碳资产管理平台建设与运营；碳核查与认证；碳达峰、碳中和综合解决方案；碳信息披露与鉴证；</w:t>
      </w:r>
    </w:p>
    <w:p w14:paraId="25363CA0">
      <w:pPr>
        <w:pStyle w:val="11"/>
        <w:numPr>
          <w:ilvl w:val="-1"/>
          <w:numId w:val="0"/>
        </w:numPr>
        <w:tabs>
          <w:tab w:val="left" w:pos="6678"/>
        </w:tabs>
        <w:snapToGrid w:val="0"/>
        <w:spacing w:line="360" w:lineRule="auto"/>
        <w:ind w:firstLine="640" w:firstLineChars="20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eastAsia="zh-CN"/>
        </w:rPr>
        <w:t>（</w:t>
      </w:r>
      <w:r>
        <w:rPr>
          <w:rFonts w:hint="eastAsia" w:ascii="方正仿宋_GB2312" w:hAnsi="方正仿宋_GB2312" w:eastAsia="方正仿宋_GB2312" w:cs="方正仿宋_GB2312"/>
          <w:b w:val="0"/>
          <w:bCs w:val="0"/>
          <w:sz w:val="32"/>
          <w:szCs w:val="32"/>
          <w:lang w:val="en-US" w:eastAsia="zh-CN"/>
        </w:rPr>
        <w:t>2</w:t>
      </w:r>
      <w:r>
        <w:rPr>
          <w:rFonts w:hint="eastAsia" w:ascii="方正仿宋_GB2312" w:hAnsi="方正仿宋_GB2312" w:eastAsia="方正仿宋_GB2312" w:cs="方正仿宋_GB2312"/>
          <w:b w:val="0"/>
          <w:bCs w:val="0"/>
          <w:sz w:val="32"/>
          <w:szCs w:val="32"/>
          <w:lang w:eastAsia="zh-CN"/>
        </w:rPr>
        <w:t>）碳市场建设与金融支撑：碳金融产品与碳保险；碳交易经纪、咨询与撮合服务；碳市场专业服务（注册登记、结算、合规咨询等）。</w:t>
      </w:r>
    </w:p>
    <w:p w14:paraId="0A162676">
      <w:pPr>
        <w:adjustRightInd w:val="0"/>
        <w:snapToGrid w:val="0"/>
        <w:spacing w:line="360" w:lineRule="auto"/>
        <w:ind w:firstLine="643" w:firstLineChars="200"/>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板块</w:t>
      </w:r>
      <w:r>
        <w:rPr>
          <w:rFonts w:hint="eastAsia" w:ascii="方正仿宋_GB2312" w:hAnsi="方正仿宋_GB2312" w:eastAsia="方正仿宋_GB2312" w:cs="方正仿宋_GB2312"/>
          <w:b/>
          <w:bCs/>
          <w:sz w:val="32"/>
          <w:szCs w:val="32"/>
          <w:lang w:val="en-US" w:eastAsia="zh-CN"/>
        </w:rPr>
        <w:t>三</w:t>
      </w:r>
      <w:r>
        <w:rPr>
          <w:rFonts w:hint="eastAsia" w:ascii="方正仿宋_GB2312" w:hAnsi="方正仿宋_GB2312" w:eastAsia="方正仿宋_GB2312" w:cs="方正仿宋_GB2312"/>
          <w:b/>
          <w:bCs/>
          <w:sz w:val="32"/>
          <w:szCs w:val="32"/>
          <w:lang w:eastAsia="zh-CN"/>
        </w:rPr>
        <w:t>：源头减碳（能源替代</w:t>
      </w:r>
      <w:r>
        <w:rPr>
          <w:rFonts w:hint="eastAsia" w:ascii="方正仿宋_GB2312" w:hAnsi="方正仿宋_GB2312" w:eastAsia="方正仿宋_GB2312" w:cs="方正仿宋_GB2312"/>
          <w:b/>
          <w:bCs/>
          <w:sz w:val="32"/>
          <w:szCs w:val="32"/>
          <w:lang w:val="en-US" w:eastAsia="zh-CN"/>
        </w:rPr>
        <w:t>与结构优化</w:t>
      </w:r>
      <w:r>
        <w:rPr>
          <w:rFonts w:hint="eastAsia" w:ascii="方正仿宋_GB2312" w:hAnsi="方正仿宋_GB2312" w:eastAsia="方正仿宋_GB2312" w:cs="方正仿宋_GB2312"/>
          <w:b/>
          <w:bCs/>
          <w:sz w:val="32"/>
          <w:szCs w:val="32"/>
          <w:lang w:eastAsia="zh-CN"/>
        </w:rPr>
        <w:t>）</w:t>
      </w:r>
    </w:p>
    <w:p w14:paraId="54676DA3">
      <w:pPr>
        <w:adjustRightInd w:val="0"/>
        <w:snapToGrid w:val="0"/>
        <w:spacing w:line="360" w:lineRule="auto"/>
        <w:ind w:firstLine="640" w:firstLineChars="200"/>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本板块技术成果应配套减排效益可量化、可追溯的证明材料。</w:t>
      </w:r>
    </w:p>
    <w:p w14:paraId="064B5613">
      <w:pPr>
        <w:numPr>
          <w:ilvl w:val="-1"/>
          <w:numId w:val="0"/>
        </w:numPr>
        <w:adjustRightInd w:val="0"/>
        <w:snapToGrid w:val="0"/>
        <w:spacing w:line="360" w:lineRule="auto"/>
        <w:ind w:firstLine="640" w:firstLineChars="200"/>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eastAsia="zh-CN"/>
        </w:rPr>
        <w:t>能源和电力：可再生能源（光伏/风电/核电/生物质发电/生物质燃料/地热/海洋能/太阳能供热/中深层地热）；煤电清洁转型（超超临界/灵活性改造/IGCC）；储能（抽蓄/锂/液流/钠/压缩空气/飞轮）；智能电网</w:t>
      </w:r>
      <w:r>
        <w:rPr>
          <w:rFonts w:hint="eastAsia" w:ascii="方正仿宋_GB2312" w:hAnsi="方正仿宋_GB2312" w:eastAsia="方正仿宋_GB2312" w:cs="方正仿宋_GB2312"/>
          <w:b w:val="0"/>
          <w:bCs w:val="0"/>
          <w:color w:val="auto"/>
          <w:sz w:val="32"/>
          <w:szCs w:val="32"/>
          <w:lang w:val="en-US" w:eastAsia="zh-CN"/>
        </w:rPr>
        <w:t>与微电网</w:t>
      </w:r>
      <w:r>
        <w:rPr>
          <w:rFonts w:hint="eastAsia" w:ascii="方正仿宋_GB2312" w:hAnsi="方正仿宋_GB2312" w:eastAsia="方正仿宋_GB2312" w:cs="方正仿宋_GB2312"/>
          <w:b w:val="0"/>
          <w:bCs w:val="0"/>
          <w:color w:val="auto"/>
          <w:sz w:val="32"/>
          <w:szCs w:val="32"/>
          <w:lang w:eastAsia="zh-CN"/>
        </w:rPr>
        <w:t>（特高压/柔性直流/虚拟电厂/源网荷储）；氢能</w:t>
      </w:r>
      <w:r>
        <w:rPr>
          <w:rFonts w:hint="eastAsia" w:ascii="方正仿宋_GB2312" w:hAnsi="方正仿宋_GB2312" w:eastAsia="方正仿宋_GB2312" w:cs="方正仿宋_GB2312"/>
          <w:b w:val="0"/>
          <w:bCs w:val="0"/>
          <w:color w:val="auto"/>
          <w:sz w:val="32"/>
          <w:szCs w:val="32"/>
          <w:lang w:val="en-US" w:eastAsia="zh-CN"/>
        </w:rPr>
        <w:t>与燃料电池</w:t>
      </w:r>
      <w:r>
        <w:rPr>
          <w:rFonts w:hint="eastAsia" w:ascii="方正仿宋_GB2312" w:hAnsi="方正仿宋_GB2312" w:eastAsia="方正仿宋_GB2312" w:cs="方正仿宋_GB2312"/>
          <w:b w:val="0"/>
          <w:bCs w:val="0"/>
          <w:color w:val="auto"/>
          <w:sz w:val="32"/>
          <w:szCs w:val="32"/>
          <w:lang w:eastAsia="zh-CN"/>
        </w:rPr>
        <w:t>（电解/光解/储氢/燃料电池）；能源互联网（多能互补/V2G/智慧平台）；碳捕集利用封存（CCUS）技术（燃烧前/后/富氧/CO₂驱油/化工/封存）；核能</w:t>
      </w:r>
      <w:r>
        <w:rPr>
          <w:rFonts w:hint="eastAsia" w:ascii="方正仿宋_GB2312" w:hAnsi="方正仿宋_GB2312" w:eastAsia="方正仿宋_GB2312" w:cs="方正仿宋_GB2312"/>
          <w:b w:val="0"/>
          <w:bCs w:val="0"/>
          <w:color w:val="auto"/>
          <w:sz w:val="32"/>
          <w:szCs w:val="32"/>
          <w:lang w:val="en-US" w:eastAsia="zh-CN"/>
        </w:rPr>
        <w:t>综合利用</w:t>
      </w:r>
      <w:r>
        <w:rPr>
          <w:rFonts w:hint="eastAsia" w:ascii="方正仿宋_GB2312" w:hAnsi="方正仿宋_GB2312" w:eastAsia="方正仿宋_GB2312" w:cs="方正仿宋_GB2312"/>
          <w:b w:val="0"/>
          <w:bCs w:val="0"/>
          <w:color w:val="auto"/>
          <w:sz w:val="32"/>
          <w:szCs w:val="32"/>
          <w:lang w:eastAsia="zh-CN"/>
        </w:rPr>
        <w:t>。</w:t>
      </w:r>
    </w:p>
    <w:p w14:paraId="62ADDA6B">
      <w:pPr>
        <w:pStyle w:val="11"/>
        <w:numPr>
          <w:ilvl w:val="0"/>
          <w:numId w:val="0"/>
        </w:numPr>
        <w:snapToGrid w:val="0"/>
        <w:spacing w:line="360" w:lineRule="auto"/>
        <w:ind w:firstLine="640"/>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板块</w:t>
      </w:r>
      <w:r>
        <w:rPr>
          <w:rFonts w:hint="eastAsia" w:ascii="方正仿宋_GB2312" w:hAnsi="方正仿宋_GB2312" w:eastAsia="方正仿宋_GB2312" w:cs="方正仿宋_GB2312"/>
          <w:b/>
          <w:bCs/>
          <w:sz w:val="32"/>
          <w:szCs w:val="32"/>
          <w:lang w:val="en-US" w:eastAsia="zh-CN"/>
        </w:rPr>
        <w:t>四</w:t>
      </w:r>
      <w:r>
        <w:rPr>
          <w:rFonts w:hint="eastAsia" w:ascii="方正仿宋_GB2312" w:hAnsi="方正仿宋_GB2312" w:eastAsia="方正仿宋_GB2312" w:cs="方正仿宋_GB2312"/>
          <w:b/>
          <w:bCs/>
          <w:sz w:val="32"/>
          <w:szCs w:val="32"/>
          <w:lang w:eastAsia="zh-CN"/>
        </w:rPr>
        <w:t>：过程降碳（重点行业</w:t>
      </w:r>
      <w:r>
        <w:rPr>
          <w:rFonts w:hint="eastAsia" w:ascii="方正仿宋_GB2312" w:hAnsi="方正仿宋_GB2312" w:eastAsia="方正仿宋_GB2312" w:cs="方正仿宋_GB2312"/>
          <w:b/>
          <w:bCs/>
          <w:sz w:val="32"/>
          <w:szCs w:val="32"/>
          <w:lang w:val="en-US" w:eastAsia="zh-CN"/>
        </w:rPr>
        <w:t>＋</w:t>
      </w:r>
      <w:r>
        <w:rPr>
          <w:rFonts w:hint="eastAsia" w:ascii="方正仿宋_GB2312" w:hAnsi="方正仿宋_GB2312" w:eastAsia="方正仿宋_GB2312" w:cs="方正仿宋_GB2312"/>
          <w:b/>
          <w:bCs/>
          <w:sz w:val="32"/>
          <w:szCs w:val="32"/>
          <w:lang w:eastAsia="zh-CN"/>
        </w:rPr>
        <w:t>通用</w:t>
      </w:r>
      <w:r>
        <w:rPr>
          <w:rFonts w:hint="eastAsia" w:ascii="方正仿宋_GB2312" w:hAnsi="方正仿宋_GB2312" w:eastAsia="方正仿宋_GB2312" w:cs="方正仿宋_GB2312"/>
          <w:b/>
          <w:bCs/>
          <w:sz w:val="32"/>
          <w:szCs w:val="32"/>
          <w:lang w:val="en-US" w:eastAsia="zh-CN"/>
        </w:rPr>
        <w:t>技术</w:t>
      </w:r>
      <w:r>
        <w:rPr>
          <w:rFonts w:hint="eastAsia" w:ascii="方正仿宋_GB2312" w:hAnsi="方正仿宋_GB2312" w:eastAsia="方正仿宋_GB2312" w:cs="方正仿宋_GB2312"/>
          <w:b/>
          <w:bCs/>
          <w:sz w:val="32"/>
          <w:szCs w:val="32"/>
          <w:lang w:eastAsia="zh-CN"/>
        </w:rPr>
        <w:t>）</w:t>
      </w:r>
    </w:p>
    <w:p w14:paraId="30858635">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eastAsia="zh-CN"/>
        </w:rPr>
        <w:t>本板块技术成果应突出其在行业碳管控、企业碳管理中的支撑作用，为碳排放基准线确定、碳盘查、碳减排核证提供技术工具。</w:t>
      </w:r>
    </w:p>
    <w:p w14:paraId="361E174C">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1</w:t>
      </w:r>
      <w:r>
        <w:rPr>
          <w:rFonts w:hint="eastAsia" w:ascii="方正仿宋_GB2312" w:hAnsi="方正仿宋_GB2312" w:eastAsia="方正仿宋_GB2312" w:cs="方正仿宋_GB2312"/>
          <w:b w:val="0"/>
          <w:bCs w:val="0"/>
          <w:sz w:val="32"/>
          <w:szCs w:val="32"/>
          <w:lang w:eastAsia="zh-CN"/>
        </w:rPr>
        <w:t>.钢铁：氢冶金、电炉短流程、能效提升（TRT/CDQ/余热回收）、资源循环、末端CCUS</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2C5DBB13">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2</w:t>
      </w:r>
      <w:r>
        <w:rPr>
          <w:rFonts w:hint="eastAsia" w:ascii="方正仿宋_GB2312" w:hAnsi="方正仿宋_GB2312" w:eastAsia="方正仿宋_GB2312" w:cs="方正仿宋_GB2312"/>
          <w:b w:val="0"/>
          <w:bCs w:val="0"/>
          <w:sz w:val="32"/>
          <w:szCs w:val="32"/>
          <w:lang w:eastAsia="zh-CN"/>
        </w:rPr>
        <w:t>.建材：原料/燃料替代、工艺革新、能效提升（余热发电/智能控制）、低碳产品</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6F717473">
      <w:pPr>
        <w:pStyle w:val="11"/>
        <w:numPr>
          <w:ilvl w:val="0"/>
          <w:numId w:val="0"/>
        </w:numPr>
        <w:snapToGrid w:val="0"/>
        <w:spacing w:line="360" w:lineRule="auto"/>
        <w:ind w:firstLine="641"/>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3</w:t>
      </w:r>
      <w:r>
        <w:rPr>
          <w:rFonts w:hint="eastAsia" w:ascii="方正仿宋_GB2312" w:hAnsi="方正仿宋_GB2312" w:eastAsia="方正仿宋_GB2312" w:cs="方正仿宋_GB2312"/>
          <w:b w:val="0"/>
          <w:bCs w:val="0"/>
          <w:sz w:val="32"/>
          <w:szCs w:val="32"/>
          <w:lang w:eastAsia="zh-CN"/>
        </w:rPr>
        <w:t>.有色金属：清洁能源替代、工艺革新（惰性阳极/低温电解）、能效提升、再生利用、碳捕集</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0CCAF3F1">
      <w:pPr>
        <w:pStyle w:val="11"/>
        <w:numPr>
          <w:ilvl w:val="0"/>
          <w:numId w:val="0"/>
        </w:numPr>
        <w:snapToGrid w:val="0"/>
        <w:spacing w:line="360" w:lineRule="auto"/>
        <w:ind w:firstLine="641"/>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4</w:t>
      </w:r>
      <w:r>
        <w:rPr>
          <w:rFonts w:hint="eastAsia" w:ascii="方正仿宋_GB2312" w:hAnsi="方正仿宋_GB2312" w:eastAsia="方正仿宋_GB2312" w:cs="方正仿宋_GB2312"/>
          <w:b w:val="0"/>
          <w:bCs w:val="0"/>
          <w:sz w:val="32"/>
          <w:szCs w:val="32"/>
          <w:lang w:eastAsia="zh-CN"/>
        </w:rPr>
        <w:t>.石化化工：绿氢化工、工艺强化、原料低碳化、能效提升、末端CCUS及VOCs治理协同</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09EABBF1">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5</w:t>
      </w:r>
      <w:r>
        <w:rPr>
          <w:rFonts w:hint="eastAsia" w:ascii="方正仿宋_GB2312" w:hAnsi="方正仿宋_GB2312" w:eastAsia="方正仿宋_GB2312" w:cs="方正仿宋_GB2312"/>
          <w:b w:val="0"/>
          <w:bCs w:val="0"/>
          <w:sz w:val="32"/>
          <w:szCs w:val="32"/>
          <w:lang w:eastAsia="zh-CN"/>
        </w:rPr>
        <w:t>.造纸：生物质能源、能效提升（热泵干燥/变频）、工艺优化、资源循环</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43EC4492">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6</w:t>
      </w:r>
      <w:r>
        <w:rPr>
          <w:rFonts w:hint="eastAsia" w:ascii="方正仿宋_GB2312" w:hAnsi="方正仿宋_GB2312" w:eastAsia="方正仿宋_GB2312" w:cs="方正仿宋_GB2312"/>
          <w:b w:val="0"/>
          <w:bCs w:val="0"/>
          <w:sz w:val="32"/>
          <w:szCs w:val="32"/>
          <w:lang w:eastAsia="zh-CN"/>
        </w:rPr>
        <w:t>.航空与其他：SAF、电动/氢能飞机；机械制造（近净成形/增材/再制造）；纺织印染（短流程/超临界CO₂染色）；电子信息（绿色数据中心/芯片节能）</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585A1AB8">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7</w:t>
      </w:r>
      <w:r>
        <w:rPr>
          <w:rFonts w:hint="eastAsia" w:ascii="方正仿宋_GB2312" w:hAnsi="方正仿宋_GB2312" w:eastAsia="方正仿宋_GB2312" w:cs="方正仿宋_GB2312"/>
          <w:b w:val="0"/>
          <w:bCs w:val="0"/>
          <w:sz w:val="32"/>
          <w:szCs w:val="32"/>
          <w:lang w:eastAsia="zh-CN"/>
        </w:rPr>
        <w:t>.工业通用：设备节能（电机/变压器/锅炉/压缩机）；余热利用（ORC/热泵/热管）；流程优化（膜分离/超临界）；数字化（EMS/数字孪生/AI）</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5CDFBD76">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8</w:t>
      </w:r>
      <w:r>
        <w:rPr>
          <w:rFonts w:hint="eastAsia" w:ascii="方正仿宋_GB2312" w:hAnsi="方正仿宋_GB2312" w:eastAsia="方正仿宋_GB2312" w:cs="方正仿宋_GB2312"/>
          <w:b w:val="0"/>
          <w:bCs w:val="0"/>
          <w:sz w:val="32"/>
          <w:szCs w:val="32"/>
          <w:lang w:eastAsia="zh-CN"/>
        </w:rPr>
        <w:t>.交通运输：新能源汽车（固态电池/800V/碳化硅）；智能网联（V2X/自动驾驶）；补能设施（超充/换电/光储充）；绿色船舶（电动/氢/LNG/甲醇）；轨道交通（再生制动/永磁牵引）</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6701B9C8">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9</w:t>
      </w:r>
      <w:r>
        <w:rPr>
          <w:rFonts w:hint="eastAsia" w:ascii="方正仿宋_GB2312" w:hAnsi="方正仿宋_GB2312" w:eastAsia="方正仿宋_GB2312" w:cs="方正仿宋_GB2312"/>
          <w:b w:val="0"/>
          <w:bCs w:val="0"/>
          <w:sz w:val="32"/>
          <w:szCs w:val="32"/>
          <w:lang w:eastAsia="zh-CN"/>
        </w:rPr>
        <w:t>.城乡建设：低碳零碳建筑、大型公共建筑节能降碳、既有建筑节能低碳改造、区域集中供热/供冷系统、低碳社区、零碳乡村、基础设施低碳改造、地下综合管廊、绿色建造与智能建造、绿色建材（含碳足迹核算与低碳认证）、海绵城市、智慧照明</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23428548">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eastAsia="zh-CN"/>
        </w:rPr>
        <w:t>1</w:t>
      </w:r>
      <w:r>
        <w:rPr>
          <w:rFonts w:hint="eastAsia" w:ascii="方正仿宋_GB2312" w:hAnsi="方正仿宋_GB2312" w:eastAsia="方正仿宋_GB2312" w:cs="方正仿宋_GB2312"/>
          <w:b w:val="0"/>
          <w:bCs w:val="0"/>
          <w:sz w:val="32"/>
          <w:szCs w:val="32"/>
          <w:lang w:val="en-US" w:eastAsia="zh-CN"/>
        </w:rPr>
        <w:t>0</w:t>
      </w:r>
      <w:r>
        <w:rPr>
          <w:rFonts w:hint="eastAsia" w:ascii="方正仿宋_GB2312" w:hAnsi="方正仿宋_GB2312" w:eastAsia="方正仿宋_GB2312" w:cs="方正仿宋_GB2312"/>
          <w:b w:val="0"/>
          <w:bCs w:val="0"/>
          <w:sz w:val="32"/>
          <w:szCs w:val="32"/>
          <w:lang w:eastAsia="zh-CN"/>
        </w:rPr>
        <w:t>.农业农村：农业减排（保护性耕作/甲烷抑制）；土壤固碳（秸秆还田/生物炭）；农村能源（沼气/光伏/风电）；废弃物利用（粪污/秸秆）；生态循环农业；林下经济与全链条加工（林下中草药种植、采集及精深加工，含碳足迹核算与减排核证）</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56467E72">
      <w:pPr>
        <w:pStyle w:val="11"/>
        <w:numPr>
          <w:ilvl w:val="0"/>
          <w:numId w:val="0"/>
        </w:numPr>
        <w:snapToGrid w:val="0"/>
        <w:spacing w:line="360" w:lineRule="auto"/>
        <w:ind w:firstLine="640"/>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eastAsia="zh-CN"/>
        </w:rPr>
        <w:t>板块</w:t>
      </w:r>
      <w:r>
        <w:rPr>
          <w:rFonts w:hint="eastAsia" w:ascii="方正仿宋_GB2312" w:hAnsi="方正仿宋_GB2312" w:eastAsia="方正仿宋_GB2312" w:cs="方正仿宋_GB2312"/>
          <w:b/>
          <w:bCs/>
          <w:sz w:val="32"/>
          <w:szCs w:val="32"/>
          <w:lang w:val="en-US" w:eastAsia="zh-CN"/>
        </w:rPr>
        <w:t>五</w:t>
      </w:r>
      <w:r>
        <w:rPr>
          <w:rFonts w:hint="eastAsia" w:ascii="方正仿宋_GB2312" w:hAnsi="方正仿宋_GB2312" w:eastAsia="方正仿宋_GB2312" w:cs="方正仿宋_GB2312"/>
          <w:b/>
          <w:bCs/>
          <w:sz w:val="32"/>
          <w:szCs w:val="32"/>
          <w:lang w:eastAsia="zh-CN"/>
        </w:rPr>
        <w:t>：末端治理与碳汇（</w:t>
      </w:r>
      <w:r>
        <w:rPr>
          <w:rFonts w:hint="eastAsia" w:ascii="方正仿宋_GB2312" w:hAnsi="方正仿宋_GB2312" w:eastAsia="方正仿宋_GB2312" w:cs="方正仿宋_GB2312"/>
          <w:b/>
          <w:bCs/>
          <w:sz w:val="32"/>
          <w:szCs w:val="32"/>
          <w:lang w:val="en-US" w:eastAsia="zh-CN"/>
        </w:rPr>
        <w:t>抵消与封存）</w:t>
      </w:r>
    </w:p>
    <w:p w14:paraId="5AC91F99">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1.</w:t>
      </w:r>
      <w:r>
        <w:rPr>
          <w:rFonts w:hint="eastAsia" w:ascii="方正仿宋_GB2312" w:hAnsi="方正仿宋_GB2312" w:eastAsia="方正仿宋_GB2312" w:cs="方正仿宋_GB2312"/>
          <w:b w:val="0"/>
          <w:bCs w:val="0"/>
          <w:sz w:val="32"/>
          <w:szCs w:val="32"/>
          <w:lang w:eastAsia="zh-CN"/>
        </w:rPr>
        <w:t>碳汇技术：林业碳汇、蓝碳（红树林/海草床/盐沼）、农业碳汇的监测、土地修复碳汇</w:t>
      </w:r>
      <w:r>
        <w:rPr>
          <w:rFonts w:hint="eastAsia" w:ascii="方正仿宋_GB2312" w:hAnsi="方正仿宋_GB2312" w:eastAsia="方正仿宋_GB2312" w:cs="方正仿宋_GB2312"/>
          <w:b w:val="0"/>
          <w:bCs w:val="0"/>
          <w:sz w:val="32"/>
          <w:szCs w:val="32"/>
          <w:lang w:val="en-US" w:eastAsia="zh-CN"/>
        </w:rPr>
        <w:t>（</w:t>
      </w:r>
      <w:r>
        <w:rPr>
          <w:rFonts w:hint="eastAsia" w:ascii="方正仿宋_GB2312" w:hAnsi="方正仿宋_GB2312" w:eastAsia="方正仿宋_GB2312" w:cs="方正仿宋_GB2312"/>
          <w:b w:val="0"/>
          <w:bCs w:val="0"/>
          <w:sz w:val="32"/>
          <w:szCs w:val="32"/>
          <w:lang w:eastAsia="zh-CN"/>
        </w:rPr>
        <w:t>荒戈地、盐碱地、矿山等退化土地生态修复过程中的碳汇）监测、核算与核证技术（含碳汇方法学）</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5E69400C">
      <w:pPr>
        <w:pStyle w:val="11"/>
        <w:numPr>
          <w:ilvl w:val="0"/>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2.</w:t>
      </w:r>
      <w:r>
        <w:rPr>
          <w:rFonts w:hint="eastAsia" w:ascii="方正仿宋_GB2312" w:hAnsi="方正仿宋_GB2312" w:eastAsia="方正仿宋_GB2312" w:cs="方正仿宋_GB2312"/>
          <w:b w:val="0"/>
          <w:bCs w:val="0"/>
          <w:sz w:val="32"/>
          <w:szCs w:val="32"/>
          <w:lang w:eastAsia="zh-CN"/>
        </w:rPr>
        <w:t>负碳技术：生物能源碳捕集与封存（BECCS）、直接空气捕集（DAC）、增强风化等技术的碳管理配套（含碳封存监测与核证）</w:t>
      </w:r>
      <w:r>
        <w:rPr>
          <w:rFonts w:hint="eastAsia" w:ascii="方正仿宋_GB2312" w:hAnsi="方正仿宋_GB2312" w:eastAsia="方正仿宋_GB2312" w:cs="方正仿宋_GB2312"/>
          <w:b w:val="0"/>
          <w:bCs w:val="0"/>
          <w:sz w:val="32"/>
          <w:szCs w:val="32"/>
          <w:lang w:val="en-US" w:eastAsia="zh-CN"/>
        </w:rPr>
        <w:t>等</w:t>
      </w:r>
      <w:r>
        <w:rPr>
          <w:rFonts w:hint="eastAsia" w:ascii="方正仿宋_GB2312" w:hAnsi="方正仿宋_GB2312" w:eastAsia="方正仿宋_GB2312" w:cs="方正仿宋_GB2312"/>
          <w:b w:val="0"/>
          <w:bCs w:val="0"/>
          <w:sz w:val="32"/>
          <w:szCs w:val="32"/>
          <w:lang w:eastAsia="zh-CN"/>
        </w:rPr>
        <w:t>。</w:t>
      </w:r>
    </w:p>
    <w:p w14:paraId="1B87F458">
      <w:pPr>
        <w:pStyle w:val="11"/>
        <w:numPr>
          <w:ilvl w:val="0"/>
          <w:numId w:val="0"/>
        </w:numPr>
        <w:snapToGrid w:val="0"/>
        <w:spacing w:line="360" w:lineRule="auto"/>
        <w:ind w:firstLine="640"/>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板块</w:t>
      </w:r>
      <w:r>
        <w:rPr>
          <w:rFonts w:hint="eastAsia" w:ascii="方正仿宋_GB2312" w:hAnsi="方正仿宋_GB2312" w:eastAsia="方正仿宋_GB2312" w:cs="方正仿宋_GB2312"/>
          <w:b/>
          <w:bCs/>
          <w:sz w:val="32"/>
          <w:szCs w:val="32"/>
          <w:lang w:val="en-US" w:eastAsia="zh-CN"/>
        </w:rPr>
        <w:t>六</w:t>
      </w:r>
      <w:r>
        <w:rPr>
          <w:rFonts w:hint="eastAsia" w:ascii="方正仿宋_GB2312" w:hAnsi="方正仿宋_GB2312" w:eastAsia="方正仿宋_GB2312" w:cs="方正仿宋_GB2312"/>
          <w:b/>
          <w:bCs/>
          <w:sz w:val="32"/>
          <w:szCs w:val="32"/>
          <w:lang w:eastAsia="zh-CN"/>
        </w:rPr>
        <w:t>：循环利用（</w:t>
      </w:r>
      <w:r>
        <w:rPr>
          <w:rFonts w:hint="eastAsia" w:ascii="方正仿宋_GB2312" w:hAnsi="方正仿宋_GB2312" w:eastAsia="方正仿宋_GB2312" w:cs="方正仿宋_GB2312"/>
          <w:b/>
          <w:bCs/>
          <w:sz w:val="32"/>
          <w:szCs w:val="32"/>
          <w:lang w:val="en-US" w:eastAsia="zh-CN"/>
        </w:rPr>
        <w:t>资源闭环</w:t>
      </w:r>
      <w:r>
        <w:rPr>
          <w:rFonts w:hint="eastAsia" w:ascii="方正仿宋_GB2312" w:hAnsi="方正仿宋_GB2312" w:eastAsia="方正仿宋_GB2312" w:cs="方正仿宋_GB2312"/>
          <w:b/>
          <w:bCs/>
          <w:sz w:val="32"/>
          <w:szCs w:val="32"/>
          <w:lang w:eastAsia="zh-CN"/>
        </w:rPr>
        <w:t>）</w:t>
      </w:r>
    </w:p>
    <w:p w14:paraId="18F416A4">
      <w:pPr>
        <w:pStyle w:val="11"/>
        <w:numPr>
          <w:ilvl w:val="-1"/>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kern w:val="2"/>
          <w:sz w:val="32"/>
          <w:szCs w:val="32"/>
          <w:lang w:val="en-US" w:eastAsia="zh-CN" w:bidi="ar-SA"/>
        </w:rPr>
        <w:t>1.</w:t>
      </w:r>
      <w:r>
        <w:rPr>
          <w:rFonts w:hint="eastAsia" w:ascii="方正仿宋_GB2312" w:hAnsi="方正仿宋_GB2312" w:eastAsia="方正仿宋_GB2312" w:cs="方正仿宋_GB2312"/>
          <w:b w:val="0"/>
          <w:bCs w:val="0"/>
          <w:sz w:val="32"/>
          <w:szCs w:val="32"/>
          <w:lang w:eastAsia="zh-CN"/>
        </w:rPr>
        <w:t>再生资源回收（废钢/有色/塑料/橡胶）；再制造（汽车/工程机械/航空发动机）；</w:t>
      </w:r>
    </w:p>
    <w:p w14:paraId="66018B36">
      <w:pPr>
        <w:pStyle w:val="11"/>
        <w:numPr>
          <w:ilvl w:val="-1"/>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2.</w:t>
      </w:r>
      <w:r>
        <w:rPr>
          <w:rFonts w:hint="eastAsia" w:ascii="方正仿宋_GB2312" w:hAnsi="方正仿宋_GB2312" w:eastAsia="方正仿宋_GB2312" w:cs="方正仿宋_GB2312"/>
          <w:b w:val="0"/>
          <w:bCs w:val="0"/>
          <w:sz w:val="32"/>
          <w:szCs w:val="32"/>
          <w:lang w:eastAsia="zh-CN"/>
        </w:rPr>
        <w:t>废弃物能源化（焚烧/热解/厌氧发酵）；</w:t>
      </w:r>
    </w:p>
    <w:p w14:paraId="5AA87DB6">
      <w:pPr>
        <w:pStyle w:val="11"/>
        <w:numPr>
          <w:ilvl w:val="-1"/>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3.</w:t>
      </w:r>
      <w:r>
        <w:rPr>
          <w:rFonts w:hint="eastAsia" w:ascii="方正仿宋_GB2312" w:hAnsi="方正仿宋_GB2312" w:eastAsia="方正仿宋_GB2312" w:cs="方正仿宋_GB2312"/>
          <w:b w:val="0"/>
          <w:bCs w:val="0"/>
          <w:sz w:val="32"/>
          <w:szCs w:val="32"/>
          <w:lang w:eastAsia="zh-CN"/>
        </w:rPr>
        <w:t>工业固废利用（钢渣/粉煤灰/赤泥/磷石膏）；</w:t>
      </w:r>
    </w:p>
    <w:p w14:paraId="0F5956B1">
      <w:pPr>
        <w:pStyle w:val="11"/>
        <w:numPr>
          <w:ilvl w:val="-1"/>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4.</w:t>
      </w:r>
      <w:r>
        <w:rPr>
          <w:rFonts w:hint="eastAsia" w:ascii="方正仿宋_GB2312" w:hAnsi="方正仿宋_GB2312" w:eastAsia="方正仿宋_GB2312" w:cs="方正仿宋_GB2312"/>
          <w:b w:val="0"/>
          <w:bCs w:val="0"/>
          <w:sz w:val="32"/>
          <w:szCs w:val="32"/>
          <w:lang w:eastAsia="zh-CN"/>
        </w:rPr>
        <w:t>固废高值化利用</w:t>
      </w:r>
      <w:r>
        <w:rPr>
          <w:rFonts w:hint="eastAsia" w:ascii="方正仿宋_GB2312" w:hAnsi="方正仿宋_GB2312" w:eastAsia="方正仿宋_GB2312" w:cs="方正仿宋_GB2312"/>
          <w:b w:val="0"/>
          <w:bCs w:val="0"/>
          <w:sz w:val="32"/>
          <w:szCs w:val="32"/>
          <w:lang w:val="en-US" w:eastAsia="zh-CN"/>
        </w:rPr>
        <w:t>及</w:t>
      </w:r>
      <w:r>
        <w:rPr>
          <w:rFonts w:hint="eastAsia" w:ascii="方正仿宋_GB2312" w:hAnsi="方正仿宋_GB2312" w:eastAsia="方正仿宋_GB2312" w:cs="方正仿宋_GB2312"/>
          <w:b w:val="0"/>
          <w:bCs w:val="0"/>
          <w:sz w:val="32"/>
          <w:szCs w:val="32"/>
          <w:lang w:eastAsia="zh-CN"/>
        </w:rPr>
        <w:t>碳减排技术、循环经济碳减排核证；</w:t>
      </w:r>
    </w:p>
    <w:p w14:paraId="398CE582">
      <w:pPr>
        <w:pStyle w:val="11"/>
        <w:numPr>
          <w:ilvl w:val="-1"/>
          <w:numId w:val="0"/>
        </w:numPr>
        <w:snapToGrid w:val="0"/>
        <w:spacing w:line="360" w:lineRule="auto"/>
        <w:ind w:firstLine="64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val="en-US" w:eastAsia="zh-CN"/>
        </w:rPr>
        <w:t>5.</w:t>
      </w:r>
      <w:r>
        <w:rPr>
          <w:rFonts w:hint="eastAsia" w:ascii="方正仿宋_GB2312" w:hAnsi="方正仿宋_GB2312" w:eastAsia="方正仿宋_GB2312" w:cs="方正仿宋_GB2312"/>
          <w:b w:val="0"/>
          <w:bCs w:val="0"/>
          <w:sz w:val="32"/>
          <w:szCs w:val="32"/>
          <w:lang w:eastAsia="zh-CN"/>
        </w:rPr>
        <w:t>工业水循环利用与节水技术。</w:t>
      </w:r>
    </w:p>
    <w:p w14:paraId="3C29C68B">
      <w:pPr>
        <w:pStyle w:val="11"/>
        <w:numPr>
          <w:ilvl w:val="0"/>
          <w:numId w:val="0"/>
        </w:numPr>
        <w:snapToGrid w:val="0"/>
        <w:spacing w:line="360" w:lineRule="auto"/>
        <w:ind w:firstLine="640" w:firstLineChars="0"/>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b w:val="0"/>
          <w:bCs w:val="0"/>
          <w:sz w:val="32"/>
          <w:szCs w:val="32"/>
          <w:lang w:eastAsia="zh-CN"/>
        </w:rPr>
        <w:t>上述技术应配套减排效益可量化、可追溯</w:t>
      </w:r>
      <w:r>
        <w:rPr>
          <w:rFonts w:hint="eastAsia" w:ascii="方正仿宋_GB2312" w:hAnsi="方正仿宋_GB2312" w:eastAsia="方正仿宋_GB2312" w:cs="方正仿宋_GB2312"/>
          <w:b w:val="0"/>
          <w:bCs w:val="0"/>
          <w:sz w:val="32"/>
          <w:szCs w:val="32"/>
          <w:lang w:val="en-US" w:eastAsia="zh-CN"/>
        </w:rPr>
        <w:t>的证明材料</w:t>
      </w:r>
      <w:r>
        <w:rPr>
          <w:rFonts w:hint="eastAsia" w:ascii="方正仿宋_GB2312" w:hAnsi="方正仿宋_GB2312" w:eastAsia="方正仿宋_GB2312" w:cs="方正仿宋_GB2312"/>
          <w:b w:val="0"/>
          <w:bCs w:val="0"/>
          <w:sz w:val="32"/>
          <w:szCs w:val="32"/>
          <w:lang w:eastAsia="zh-CN"/>
        </w:rPr>
        <w:t>。</w:t>
      </w:r>
    </w:p>
    <w:p w14:paraId="42F457F6">
      <w:pPr>
        <w:pStyle w:val="2"/>
        <w:numPr>
          <w:ilvl w:val="0"/>
          <w:numId w:val="1"/>
        </w:numPr>
        <w:topLinePunct w:val="0"/>
        <w:snapToGrid w:val="0"/>
        <w:spacing w:line="360" w:lineRule="auto"/>
        <w:ind w:left="0" w:leftChars="0" w:firstLine="0" w:firstLineChars="0"/>
        <w:rPr>
          <w:rFonts w:hint="eastAsia" w:ascii="黑体" w:hAnsi="黑体" w:eastAsia="黑体" w:cs="黑体"/>
          <w:b/>
          <w:bCs/>
          <w:sz w:val="32"/>
          <w:szCs w:val="32"/>
        </w:rPr>
      </w:pPr>
      <w:r>
        <w:rPr>
          <w:rFonts w:hint="eastAsia" w:ascii="黑体" w:hAnsi="黑体" w:eastAsia="黑体" w:cs="黑体"/>
          <w:b/>
          <w:bCs/>
          <w:sz w:val="32"/>
          <w:szCs w:val="32"/>
        </w:rPr>
        <w:t>征集条件</w:t>
      </w:r>
    </w:p>
    <w:p w14:paraId="03FDE31F">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技术成果应满足以下要求：</w:t>
      </w:r>
    </w:p>
    <w:p w14:paraId="5504CDAB">
      <w:pPr>
        <w:tabs>
          <w:tab w:val="left" w:pos="630"/>
        </w:tabs>
        <w:adjustRightInd w:val="0"/>
        <w:snapToGrid w:val="0"/>
        <w:spacing w:line="360" w:lineRule="auto"/>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1.合规性</w:t>
      </w:r>
    </w:p>
    <w:p w14:paraId="68E27AF4">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符合国家和地方双碳法规、政策及标准；技术具备低碳</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零碳</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、经济可行、安全可靠的特征。</w:t>
      </w:r>
    </w:p>
    <w:p w14:paraId="131C00F4">
      <w:pPr>
        <w:numPr>
          <w:ilvl w:val="0"/>
          <w:numId w:val="0"/>
        </w:numPr>
        <w:tabs>
          <w:tab w:val="left" w:pos="630"/>
        </w:tabs>
        <w:adjustRightInd w:val="0"/>
        <w:snapToGrid w:val="0"/>
        <w:spacing w:line="360" w:lineRule="auto"/>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2"/>
          <w:sz w:val="32"/>
          <w:szCs w:val="32"/>
          <w:lang w:val="en-US" w:eastAsia="zh-CN" w:bidi="ar-SA"/>
        </w:rPr>
        <w:t>2.</w:t>
      </w:r>
      <w:r>
        <w:rPr>
          <w:rFonts w:hint="eastAsia" w:ascii="方正仿宋_GB2312" w:hAnsi="方正仿宋_GB2312" w:eastAsia="方正仿宋_GB2312" w:cs="方正仿宋_GB2312"/>
          <w:b/>
          <w:bCs/>
          <w:sz w:val="32"/>
          <w:szCs w:val="32"/>
        </w:rPr>
        <w:t>创新性（满足其一）</w:t>
      </w:r>
    </w:p>
    <w:p w14:paraId="272970DF">
      <w:pPr>
        <w:numPr>
          <w:ilvl w:val="-1"/>
          <w:numId w:val="0"/>
        </w:numPr>
        <w:tabs>
          <w:tab w:val="left" w:pos="630"/>
        </w:tabs>
        <w:adjustRightInd w:val="0"/>
        <w:snapToGrid w:val="0"/>
        <w:spacing w:line="360" w:lineRule="auto"/>
        <w:ind w:firstLine="640" w:firstLineChars="200"/>
        <w:rPr>
          <w:rFonts w:hint="eastAsia" w:ascii="方正仿宋_GB2312" w:hAnsi="方正仿宋_GB2312" w:eastAsia="方正仿宋_GB2312" w:cs="方正仿宋_GB2312"/>
          <w:b w:val="0"/>
          <w:bCs w:val="0"/>
          <w:sz w:val="32"/>
          <w:szCs w:val="32"/>
        </w:rPr>
      </w:pPr>
      <w:r>
        <w:rPr>
          <w:rFonts w:hint="eastAsia" w:ascii="方正仿宋_GB2312" w:hAnsi="方正仿宋_GB2312" w:eastAsia="方正仿宋_GB2312" w:cs="方正仿宋_GB2312"/>
          <w:b w:val="0"/>
          <w:bCs w:val="0"/>
          <w:sz w:val="32"/>
          <w:szCs w:val="32"/>
          <w:lang w:eastAsia="zh-CN"/>
        </w:rPr>
        <w:t>（</w:t>
      </w:r>
      <w:r>
        <w:rPr>
          <w:rFonts w:hint="eastAsia" w:ascii="方正仿宋_GB2312" w:hAnsi="方正仿宋_GB2312" w:eastAsia="方正仿宋_GB2312" w:cs="方正仿宋_GB2312"/>
          <w:b w:val="0"/>
          <w:bCs w:val="0"/>
          <w:sz w:val="32"/>
          <w:szCs w:val="32"/>
          <w:lang w:val="en-US" w:eastAsia="zh-CN"/>
        </w:rPr>
        <w:t>1</w:t>
      </w:r>
      <w:r>
        <w:rPr>
          <w:rFonts w:hint="eastAsia" w:ascii="方正仿宋_GB2312" w:hAnsi="方正仿宋_GB2312" w:eastAsia="方正仿宋_GB2312" w:cs="方正仿宋_GB2312"/>
          <w:b w:val="0"/>
          <w:bCs w:val="0"/>
          <w:sz w:val="32"/>
          <w:szCs w:val="32"/>
          <w:lang w:eastAsia="zh-CN"/>
        </w:rPr>
        <w:t>）</w:t>
      </w:r>
      <w:r>
        <w:rPr>
          <w:rFonts w:hint="eastAsia" w:ascii="方正仿宋_GB2312" w:hAnsi="方正仿宋_GB2312" w:eastAsia="方正仿宋_GB2312" w:cs="方正仿宋_GB2312"/>
          <w:b w:val="0"/>
          <w:bCs w:val="0"/>
          <w:sz w:val="32"/>
          <w:szCs w:val="32"/>
        </w:rPr>
        <w:t>国际领先</w:t>
      </w:r>
      <w:r>
        <w:rPr>
          <w:rFonts w:hint="eastAsia" w:ascii="方正仿宋_GB2312" w:hAnsi="方正仿宋_GB2312" w:eastAsia="方正仿宋_GB2312" w:cs="方正仿宋_GB2312"/>
          <w:b w:val="0"/>
          <w:bCs w:val="0"/>
          <w:sz w:val="32"/>
          <w:szCs w:val="32"/>
          <w:lang w:eastAsia="zh-CN"/>
        </w:rPr>
        <w:t>；</w:t>
      </w:r>
    </w:p>
    <w:p w14:paraId="63CC92D4">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达到国际</w:t>
      </w:r>
      <w:r>
        <w:rPr>
          <w:rFonts w:hint="eastAsia" w:ascii="方正仿宋_GB2312" w:hAnsi="方正仿宋_GB2312" w:eastAsia="方正仿宋_GB2312" w:cs="方正仿宋_GB2312"/>
          <w:sz w:val="32"/>
          <w:szCs w:val="32"/>
          <w:lang w:val="en-US" w:eastAsia="zh-CN"/>
        </w:rPr>
        <w:t>先进</w:t>
      </w:r>
      <w:r>
        <w:rPr>
          <w:rFonts w:hint="eastAsia" w:ascii="方正仿宋_GB2312" w:hAnsi="方正仿宋_GB2312" w:eastAsia="方正仿宋_GB2312" w:cs="方正仿宋_GB2312"/>
          <w:sz w:val="32"/>
          <w:szCs w:val="32"/>
        </w:rPr>
        <w:t>水平；</w:t>
      </w:r>
    </w:p>
    <w:p w14:paraId="781E804B">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达到国内领先水平；</w:t>
      </w:r>
    </w:p>
    <w:p w14:paraId="7A0E81C4">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技术原理或方法取得突破性进步；</w:t>
      </w:r>
    </w:p>
    <w:p w14:paraId="2DE44914">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对现有技术有显著改进，能明显提高能效或降低碳强度。</w:t>
      </w:r>
    </w:p>
    <w:p w14:paraId="1EFD8808">
      <w:pPr>
        <w:tabs>
          <w:tab w:val="left" w:pos="630"/>
        </w:tabs>
        <w:adjustRightInd w:val="0"/>
        <w:snapToGrid w:val="0"/>
        <w:spacing w:line="360" w:lineRule="auto"/>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3.实用性（满足其一；整体效益应可量化评估）</w:t>
      </w:r>
    </w:p>
    <w:p w14:paraId="0D0A6F2F">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可形成系统解决方案或标准化产品；</w:t>
      </w:r>
    </w:p>
    <w:p w14:paraId="0E9CFAB7">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市场前景好，预期可形成较大市场规模，或显著提升碳减排效益与经济效益；</w:t>
      </w:r>
    </w:p>
    <w:p w14:paraId="15B61326">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可替代或淘汰落后技术，显著提高节能环保水平；</w:t>
      </w:r>
    </w:p>
    <w:p w14:paraId="0AC7BB4B">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能改善民生，形成规模化应用；</w:t>
      </w:r>
    </w:p>
    <w:p w14:paraId="095AA46E">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有效支撑零碳园区/零碳工厂建设，形成可复制推广的应用场景；</w:t>
      </w:r>
    </w:p>
    <w:p w14:paraId="1AF3279E">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明显改善能源结构、降低碳强度；</w:t>
      </w:r>
    </w:p>
    <w:p w14:paraId="7B97B93D">
      <w:pPr>
        <w:numPr>
          <w:ilvl w:val="-1"/>
          <w:numId w:val="0"/>
        </w:num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（7）能直接支撑地方碳考核、行业碳管控、项目碳评价等宏观治理制度实施；</w:t>
      </w:r>
    </w:p>
    <w:p w14:paraId="5AD07E21">
      <w:pPr>
        <w:numPr>
          <w:ilvl w:val="-1"/>
          <w:numId w:val="0"/>
        </w:num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（8）能直接支撑企业碳管理体系建设（碳盘查、碳减排、碳资产优化、碳交易）；</w:t>
      </w:r>
    </w:p>
    <w:p w14:paraId="6C8E53E2">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（9）能直接支撑碳足迹核算或碳标签认证。</w:t>
      </w:r>
    </w:p>
    <w:p w14:paraId="6535DFE9">
      <w:pPr>
        <w:tabs>
          <w:tab w:val="left" w:pos="630"/>
        </w:tabs>
        <w:adjustRightInd w:val="0"/>
        <w:snapToGrid w:val="0"/>
        <w:spacing w:line="360" w:lineRule="auto"/>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4.可推广性</w:t>
      </w:r>
    </w:p>
    <w:p w14:paraId="17746E59">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小试技术可在合理周期内通过中试实现产业化；</w:t>
      </w:r>
    </w:p>
    <w:p w14:paraId="5C0C9D4F">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定型技术可批量生产销售；</w:t>
      </w:r>
    </w:p>
    <w:p w14:paraId="32340E15">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成熟技术可大规模生产，技术和市场风险已得到有效识别与控制，具备商业化推广条件。</w:t>
      </w:r>
    </w:p>
    <w:p w14:paraId="02C0360A">
      <w:pPr>
        <w:tabs>
          <w:tab w:val="left" w:pos="630"/>
        </w:tabs>
        <w:adjustRightInd w:val="0"/>
        <w:snapToGrid w:val="0"/>
        <w:spacing w:line="360" w:lineRule="auto"/>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5.知识产权</w:t>
      </w:r>
    </w:p>
    <w:p w14:paraId="5E08C122">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知识产权权属清晰、无法律争议（包括但不限于自主研发、合作研发、委托研发、个人研发、政府资助项目成果、国际引进成果等）。申报时须提供相应证明材料（如专利证书、转让协议、无纠纷声明等）。</w:t>
      </w:r>
    </w:p>
    <w:p w14:paraId="232C200D">
      <w:pPr>
        <w:tabs>
          <w:tab w:val="left" w:pos="630"/>
        </w:tabs>
        <w:adjustRightInd w:val="0"/>
        <w:snapToGrid w:val="0"/>
        <w:spacing w:line="360" w:lineRule="auto"/>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6.优先推荐（符合以下条件之一者优先）</w:t>
      </w:r>
    </w:p>
    <w:p w14:paraId="35792C55">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技术已在零碳园区或零碳工厂试点中实际应用；</w:t>
      </w:r>
    </w:p>
    <w:p w14:paraId="7F303633">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获得国家级或省部级科技奖励，或承担国家级/省部级重大科技专项；</w:t>
      </w:r>
    </w:p>
    <w:p w14:paraId="46014221">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核心技术指标达到行业能效标杆水平或国际</w:t>
      </w:r>
      <w:r>
        <w:rPr>
          <w:rFonts w:hint="eastAsia" w:ascii="方正仿宋_GB2312" w:hAnsi="方正仿宋_GB2312" w:eastAsia="方正仿宋_GB2312" w:cs="方正仿宋_GB2312"/>
          <w:sz w:val="32"/>
          <w:szCs w:val="32"/>
          <w:lang w:val="en-US" w:eastAsia="zh-CN"/>
        </w:rPr>
        <w:t>领先或</w:t>
      </w:r>
      <w:r>
        <w:rPr>
          <w:rFonts w:hint="eastAsia" w:ascii="方正仿宋_GB2312" w:hAnsi="方正仿宋_GB2312" w:eastAsia="方正仿宋_GB2312" w:cs="方正仿宋_GB2312"/>
          <w:sz w:val="32"/>
          <w:szCs w:val="32"/>
        </w:rPr>
        <w:t>先进水平；</w:t>
      </w:r>
    </w:p>
    <w:p w14:paraId="0E5952D6">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核心技术指标有已发布的团体标准、行业标准或国家标准作为依据；</w:t>
      </w:r>
    </w:p>
    <w:p w14:paraId="45725DF5">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对碳</w:t>
      </w:r>
      <w:r>
        <w:rPr>
          <w:rFonts w:hint="eastAsia" w:ascii="方正仿宋_GB2312" w:hAnsi="方正仿宋_GB2312" w:eastAsia="方正仿宋_GB2312" w:cs="方正仿宋_GB2312"/>
          <w:sz w:val="32"/>
          <w:szCs w:val="32"/>
          <w:lang w:val="en-US" w:eastAsia="zh-CN"/>
        </w:rPr>
        <w:t>监测、碳</w:t>
      </w:r>
      <w:r>
        <w:rPr>
          <w:rFonts w:hint="eastAsia" w:ascii="方正仿宋_GB2312" w:hAnsi="方正仿宋_GB2312" w:eastAsia="方正仿宋_GB2312" w:cs="方正仿宋_GB2312"/>
          <w:sz w:val="32"/>
          <w:szCs w:val="32"/>
        </w:rPr>
        <w:t>核算、碳标签认证</w:t>
      </w:r>
      <w:r>
        <w:rPr>
          <w:rFonts w:hint="eastAsia" w:ascii="方正仿宋_GB2312" w:hAnsi="方正仿宋_GB2312" w:eastAsia="方正仿宋_GB2312" w:cs="方正仿宋_GB2312"/>
          <w:sz w:val="32"/>
          <w:szCs w:val="32"/>
          <w:lang w:val="en-US" w:eastAsia="zh-CN"/>
        </w:rPr>
        <w:t>等双碳业务</w:t>
      </w:r>
      <w:r>
        <w:rPr>
          <w:rFonts w:hint="eastAsia" w:ascii="方正仿宋_GB2312" w:hAnsi="方正仿宋_GB2312" w:eastAsia="方正仿宋_GB2312" w:cs="方正仿宋_GB2312"/>
          <w:sz w:val="32"/>
          <w:szCs w:val="32"/>
        </w:rPr>
        <w:t>有直接技术支撑。</w:t>
      </w:r>
    </w:p>
    <w:p w14:paraId="741E7B22">
      <w:pPr>
        <w:tabs>
          <w:tab w:val="left" w:pos="630"/>
        </w:tabs>
        <w:adjustRightInd w:val="0"/>
        <w:snapToGrid w:val="0"/>
        <w:spacing w:line="360" w:lineRule="auto"/>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7.禁止申报（出现任一情形即不予受理）</w:t>
      </w:r>
    </w:p>
    <w:p w14:paraId="060AAFBA">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知识产权存在争议且无法提供有效权属证明；</w:t>
      </w:r>
    </w:p>
    <w:p w14:paraId="30051F6D">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申报材料弄虚作假（一经查实，永久取消申报资格并承担相应法律责任）；</w:t>
      </w:r>
    </w:p>
    <w:p w14:paraId="7F05F0A3">
      <w:pPr>
        <w:tabs>
          <w:tab w:val="left" w:pos="630"/>
        </w:tabs>
        <w:adjustRightInd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经第三方评估或监管部门认定，存在重大安全、环保风险且未采取有效控制措施。</w:t>
      </w:r>
    </w:p>
    <w:p w14:paraId="18CD8090">
      <w:pPr>
        <w:pStyle w:val="2"/>
        <w:numPr>
          <w:ilvl w:val="0"/>
          <w:numId w:val="1"/>
        </w:numPr>
        <w:topLinePunct w:val="0"/>
        <w:snapToGrid w:val="0"/>
        <w:spacing w:line="360" w:lineRule="auto"/>
        <w:ind w:left="0" w:leftChars="0" w:firstLine="0" w:firstLineChars="0"/>
        <w:rPr>
          <w:rFonts w:hint="eastAsia" w:ascii="黑体" w:hAnsi="黑体" w:eastAsia="黑体" w:cs="黑体"/>
          <w:b/>
          <w:bCs/>
          <w:sz w:val="32"/>
          <w:szCs w:val="32"/>
        </w:rPr>
      </w:pPr>
      <w:r>
        <w:rPr>
          <w:rFonts w:hint="eastAsia" w:ascii="黑体" w:hAnsi="黑体" w:eastAsia="黑体" w:cs="黑体"/>
          <w:b/>
          <w:bCs/>
          <w:sz w:val="32"/>
          <w:szCs w:val="32"/>
        </w:rPr>
        <w:t>申报与提交</w:t>
      </w:r>
    </w:p>
    <w:p w14:paraId="36D390FF">
      <w:pPr>
        <w:pStyle w:val="11"/>
        <w:numPr>
          <w:ilvl w:val="0"/>
          <w:numId w:val="2"/>
        </w:numPr>
        <w:topLinePunct w:val="0"/>
        <w:snapToGrid w:val="0"/>
        <w:spacing w:line="360" w:lineRule="auto"/>
        <w:ind w:firstLine="640" w:firstLineChars="200"/>
        <w:rPr>
          <w:rFonts w:hint="eastAsia" w:ascii="方正仿宋_GB2312" w:hAnsi="方正仿宋_GB2312" w:eastAsia="方正仿宋_GB2312" w:cs="方正仿宋_GB2312"/>
          <w:b w:val="0"/>
          <w:sz w:val="32"/>
          <w:szCs w:val="32"/>
        </w:rPr>
      </w:pPr>
      <w:r>
        <w:rPr>
          <w:rFonts w:hint="eastAsia" w:ascii="方正仿宋_GB2312" w:hAnsi="方正仿宋_GB2312" w:eastAsia="方正仿宋_GB2312" w:cs="方正仿宋_GB2312"/>
          <w:sz w:val="32"/>
          <w:szCs w:val="32"/>
        </w:rPr>
        <w:t>2025年度“中国好技术”双碳领域专项申报采取线上申报、审核打印提交纸质资料的方式进行。单位和个人登</w:t>
      </w:r>
      <w:r>
        <w:rPr>
          <w:rFonts w:hint="eastAsia" w:ascii="方正仿宋_GB2312" w:hAnsi="方正仿宋_GB2312" w:eastAsia="方正仿宋_GB2312" w:cs="方正仿宋_GB2312"/>
          <w:sz w:val="32"/>
          <w:szCs w:val="32"/>
          <w:lang w:val="en-US" w:eastAsia="zh-CN"/>
        </w:rPr>
        <w:t>录</w:t>
      </w:r>
      <w:r>
        <w:rPr>
          <w:rFonts w:hint="eastAsia" w:ascii="方正仿宋_GB2312" w:hAnsi="方正仿宋_GB2312" w:eastAsia="方正仿宋_GB2312" w:cs="方正仿宋_GB2312"/>
          <w:sz w:val="32"/>
          <w:szCs w:val="32"/>
        </w:rPr>
        <w:t>中国好技术线上申报平台：http://www.hitic.org.cn，填写相关信息，选择“中国生</w:t>
      </w:r>
      <w:r>
        <w:rPr>
          <w:rFonts w:hint="eastAsia" w:ascii="方正仿宋_GB2312" w:hAnsi="方正仿宋_GB2312" w:eastAsia="方正仿宋_GB2312" w:cs="方正仿宋_GB2312"/>
          <w:sz w:val="32"/>
          <w:szCs w:val="32"/>
          <w:highlight w:val="none"/>
        </w:rPr>
        <w:t>产力促进中心协会双碳产业发展专业委员会”作为推荐单位，所属技术领域勾选“双碳相关技术”（可多选）（详见《中国好技术线上申报指</w:t>
      </w:r>
      <w:r>
        <w:rPr>
          <w:rFonts w:hint="eastAsia" w:ascii="方正仿宋_GB2312" w:hAnsi="方正仿宋_GB2312" w:eastAsia="方正仿宋_GB2312" w:cs="方正仿宋_GB2312"/>
          <w:sz w:val="32"/>
          <w:szCs w:val="32"/>
        </w:rPr>
        <w:t>南》）。</w:t>
      </w:r>
    </w:p>
    <w:p w14:paraId="7B1B4873">
      <w:pPr>
        <w:pStyle w:val="11"/>
        <w:numPr>
          <w:ilvl w:val="0"/>
          <w:numId w:val="0"/>
        </w:numPr>
        <w:topLinePunct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申报流程：首先在中国好技术申报平台完成电子版材料申报，在获得推荐单位及中国生产力促进中心协会审核通过后，申报方运用中国好技术申报平台“一键打印”功能，生成标准纸质版《中国好技术项目申请表》，盖章并随其他附件材料一并递交推荐单位（双碳产业发展专业委员会），推荐单位（双碳产业发展专业委员会）</w:t>
      </w:r>
      <w:r>
        <w:rPr>
          <w:rFonts w:hint="eastAsia" w:ascii="方正仿宋_GB2312" w:hAnsi="方正仿宋_GB2312" w:eastAsia="方正仿宋_GB2312" w:cs="方正仿宋_GB2312"/>
          <w:sz w:val="32"/>
          <w:szCs w:val="32"/>
          <w:lang w:val="en-US" w:eastAsia="zh-CN"/>
        </w:rPr>
        <w:t>统一</w:t>
      </w:r>
      <w:r>
        <w:rPr>
          <w:rFonts w:hint="eastAsia" w:ascii="方正仿宋_GB2312" w:hAnsi="方正仿宋_GB2312" w:eastAsia="方正仿宋_GB2312" w:cs="方正仿宋_GB2312"/>
          <w:sz w:val="32"/>
          <w:szCs w:val="32"/>
        </w:rPr>
        <w:t>加盖公章后</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将申报材料</w:t>
      </w:r>
      <w:r>
        <w:rPr>
          <w:rFonts w:hint="eastAsia" w:ascii="方正仿宋_GB2312" w:hAnsi="方正仿宋_GB2312" w:eastAsia="方正仿宋_GB2312" w:cs="方正仿宋_GB2312"/>
          <w:sz w:val="32"/>
          <w:szCs w:val="32"/>
        </w:rPr>
        <w:t>寄送至中国生产力促进中心协会。</w:t>
      </w:r>
    </w:p>
    <w:p w14:paraId="50D3B918">
      <w:pPr>
        <w:pStyle w:val="11"/>
        <w:numPr>
          <w:ilvl w:val="0"/>
          <w:numId w:val="0"/>
        </w:numPr>
        <w:topLinePunct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将电子版材料在征集截止日前发送至指定邮箱（stcyzwh@163.com）</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i w:val="0"/>
          <w:iCs w:val="0"/>
          <w:caps w:val="0"/>
          <w:spacing w:val="0"/>
          <w:sz w:val="32"/>
          <w:szCs w:val="32"/>
          <w:shd w:val="clear"/>
        </w:rPr>
        <w:t>邮件标题格式：“双碳专项-申报单位名称-技术名称”</w:t>
      </w:r>
      <w:r>
        <w:rPr>
          <w:rFonts w:hint="eastAsia" w:ascii="方正仿宋_GB2312" w:hAnsi="方正仿宋_GB2312" w:eastAsia="方正仿宋_GB2312" w:cs="方正仿宋_GB2312"/>
          <w:sz w:val="32"/>
          <w:szCs w:val="32"/>
        </w:rPr>
        <w:t>。</w:t>
      </w:r>
    </w:p>
    <w:p w14:paraId="617C3607">
      <w:pPr>
        <w:pStyle w:val="11"/>
        <w:numPr>
          <w:ilvl w:val="0"/>
          <w:numId w:val="0"/>
        </w:numPr>
        <w:topLinePunct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装订要求：《中国好技术项目申报表》及附件材料均采用A4白纸打印合订成册，并使用硬皮纸作为封面封底，封面需注明申报单位、项目名称、推荐单位（双碳产业发展专业委员会），一式一份。该资料主要用于专家评审。</w:t>
      </w:r>
    </w:p>
    <w:p w14:paraId="700C30E8">
      <w:pPr>
        <w:pStyle w:val="11"/>
        <w:numPr>
          <w:ilvl w:val="0"/>
          <w:numId w:val="0"/>
        </w:numPr>
        <w:topLinePunct w:val="0"/>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申报单位必须保证所有申报材料的真实性、有效性和完整性。</w:t>
      </w:r>
    </w:p>
    <w:p w14:paraId="5BFED026">
      <w:pPr>
        <w:pStyle w:val="2"/>
        <w:numPr>
          <w:ilvl w:val="0"/>
          <w:numId w:val="1"/>
        </w:numPr>
        <w:topLinePunct w:val="0"/>
        <w:snapToGrid w:val="0"/>
        <w:spacing w:line="360" w:lineRule="auto"/>
        <w:ind w:left="0" w:leftChars="0" w:firstLine="0" w:firstLineChars="0"/>
        <w:rPr>
          <w:rFonts w:hint="eastAsia" w:ascii="黑体" w:hAnsi="黑体" w:eastAsia="黑体" w:cs="黑体"/>
          <w:b/>
          <w:bCs/>
          <w:sz w:val="32"/>
          <w:szCs w:val="32"/>
        </w:rPr>
      </w:pPr>
      <w:r>
        <w:rPr>
          <w:rFonts w:hint="eastAsia" w:ascii="黑体" w:hAnsi="黑体" w:eastAsia="黑体" w:cs="黑体"/>
          <w:b/>
          <w:bCs/>
          <w:sz w:val="32"/>
          <w:szCs w:val="32"/>
        </w:rPr>
        <w:t>附件材料</w:t>
      </w:r>
    </w:p>
    <w:p w14:paraId="0E77A8DD">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企业必须提交企业营业执照复印件、产品质量检测证书复印件；特殊行业产品应提交特殊行业许可证（如医药、医疗器械、计量器具、压力容器、邮电通信等有特殊行业管理要求的新产品，必须提交相关主管机构出具的批准证明）；产品有商标证书的，应提供商标证书复印件。</w:t>
      </w:r>
    </w:p>
    <w:p w14:paraId="686C7DF2">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有知识产权证书的，应提供技术成果的知识产权证书（如专利证书、著作权证书等）复印件；获得政府部门或机构奖励的，应提供奖励证书复印件；获得政府部门立项支持的，应提供政府立项支持文件的复印件。</w:t>
      </w:r>
    </w:p>
    <w:p w14:paraId="546B6427">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有科技查新报告的，应提交有效期一年以内的科技查新报告复印件。</w:t>
      </w:r>
    </w:p>
    <w:p w14:paraId="031FFCDF">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有科技成果评价报告的，应提交有效期一年以内的科技成果评价报告复印件（评价机构的认可范围等内容可详询工作人员）。</w:t>
      </w:r>
    </w:p>
    <w:p w14:paraId="5574715C">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项目主要完成人列表（原则上不超过20人，示例如下）</w:t>
      </w:r>
      <w:r>
        <w:rPr>
          <w:rFonts w:hint="eastAsia" w:ascii="方正仿宋_GB2312" w:hAnsi="方正仿宋_GB2312" w:eastAsia="方正仿宋_GB2312" w:cs="方正仿宋_GB2312"/>
          <w:sz w:val="32"/>
          <w:szCs w:val="32"/>
          <w:lang w:eastAsia="zh-CN"/>
        </w:rPr>
        <w:t>：</w:t>
      </w:r>
    </w:p>
    <w:tbl>
      <w:tblPr>
        <w:tblStyle w:val="15"/>
        <w:tblW w:w="8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541"/>
        <w:gridCol w:w="744"/>
        <w:gridCol w:w="989"/>
        <w:gridCol w:w="1055"/>
        <w:gridCol w:w="1556"/>
        <w:gridCol w:w="1744"/>
        <w:gridCol w:w="1544"/>
      </w:tblGrid>
      <w:tr w14:paraId="52E8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blHeader/>
          <w:jc w:val="center"/>
        </w:trPr>
        <w:tc>
          <w:tcPr>
            <w:tcW w:w="544" w:type="dxa"/>
            <w:vAlign w:val="center"/>
          </w:tcPr>
          <w:p w14:paraId="05DB1E87">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序号</w:t>
            </w:r>
          </w:p>
        </w:tc>
        <w:tc>
          <w:tcPr>
            <w:tcW w:w="541" w:type="dxa"/>
            <w:vAlign w:val="center"/>
          </w:tcPr>
          <w:p w14:paraId="422ECF33">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744" w:type="dxa"/>
            <w:vAlign w:val="center"/>
          </w:tcPr>
          <w:p w14:paraId="18CFAD2C">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性别</w:t>
            </w:r>
          </w:p>
        </w:tc>
        <w:tc>
          <w:tcPr>
            <w:tcW w:w="989" w:type="dxa"/>
            <w:vAlign w:val="center"/>
          </w:tcPr>
          <w:p w14:paraId="72333C0F">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出生年月</w:t>
            </w:r>
          </w:p>
        </w:tc>
        <w:tc>
          <w:tcPr>
            <w:tcW w:w="1055" w:type="dxa"/>
            <w:vAlign w:val="center"/>
          </w:tcPr>
          <w:p w14:paraId="32940BCD">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技术职称</w:t>
            </w:r>
          </w:p>
        </w:tc>
        <w:tc>
          <w:tcPr>
            <w:tcW w:w="1556" w:type="dxa"/>
            <w:vAlign w:val="center"/>
          </w:tcPr>
          <w:p w14:paraId="74959727">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文化程度</w:t>
            </w:r>
          </w:p>
          <w:p w14:paraId="29D4B1A6">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(学位)</w:t>
            </w:r>
          </w:p>
        </w:tc>
        <w:tc>
          <w:tcPr>
            <w:tcW w:w="1744" w:type="dxa"/>
            <w:vAlign w:val="center"/>
          </w:tcPr>
          <w:p w14:paraId="5FAFF828">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工作单位</w:t>
            </w:r>
          </w:p>
        </w:tc>
        <w:tc>
          <w:tcPr>
            <w:tcW w:w="1544" w:type="dxa"/>
            <w:vAlign w:val="center"/>
          </w:tcPr>
          <w:p w14:paraId="7CD001FA">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对成果创造性贡献</w:t>
            </w:r>
          </w:p>
        </w:tc>
      </w:tr>
      <w:tr w14:paraId="24FEA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44" w:type="dxa"/>
            <w:vAlign w:val="center"/>
          </w:tcPr>
          <w:p w14:paraId="46129ED8">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1</w:t>
            </w:r>
          </w:p>
        </w:tc>
        <w:tc>
          <w:tcPr>
            <w:tcW w:w="541" w:type="dxa"/>
            <w:vAlign w:val="center"/>
          </w:tcPr>
          <w:p w14:paraId="5364A4FA">
            <w:pPr>
              <w:spacing w:line="560" w:lineRule="exact"/>
              <w:jc w:val="center"/>
              <w:rPr>
                <w:rFonts w:hint="eastAsia" w:ascii="仿宋_GB2312" w:hAnsi="宋体" w:eastAsia="仿宋_GB2312" w:cs="宋体"/>
                <w:sz w:val="32"/>
                <w:szCs w:val="32"/>
              </w:rPr>
            </w:pPr>
          </w:p>
        </w:tc>
        <w:tc>
          <w:tcPr>
            <w:tcW w:w="744" w:type="dxa"/>
            <w:vAlign w:val="center"/>
          </w:tcPr>
          <w:p w14:paraId="5719E2DC">
            <w:pPr>
              <w:spacing w:line="560" w:lineRule="exact"/>
              <w:jc w:val="center"/>
              <w:rPr>
                <w:rFonts w:hint="eastAsia" w:ascii="仿宋_GB2312" w:hAnsi="宋体" w:eastAsia="仿宋_GB2312" w:cs="宋体"/>
                <w:sz w:val="32"/>
                <w:szCs w:val="32"/>
              </w:rPr>
            </w:pPr>
          </w:p>
        </w:tc>
        <w:tc>
          <w:tcPr>
            <w:tcW w:w="989" w:type="dxa"/>
            <w:vAlign w:val="center"/>
          </w:tcPr>
          <w:p w14:paraId="1720FC2C">
            <w:pPr>
              <w:spacing w:line="560" w:lineRule="exact"/>
              <w:jc w:val="center"/>
              <w:rPr>
                <w:rFonts w:hint="eastAsia" w:ascii="仿宋_GB2312" w:hAnsi="宋体" w:eastAsia="仿宋_GB2312" w:cs="宋体"/>
                <w:sz w:val="32"/>
                <w:szCs w:val="32"/>
              </w:rPr>
            </w:pPr>
          </w:p>
        </w:tc>
        <w:tc>
          <w:tcPr>
            <w:tcW w:w="1055" w:type="dxa"/>
            <w:vAlign w:val="center"/>
          </w:tcPr>
          <w:p w14:paraId="6776ED30">
            <w:pPr>
              <w:spacing w:line="560" w:lineRule="exact"/>
              <w:jc w:val="center"/>
              <w:rPr>
                <w:rFonts w:hint="eastAsia" w:ascii="仿宋_GB2312" w:hAnsi="宋体" w:eastAsia="仿宋_GB2312" w:cs="宋体"/>
                <w:sz w:val="32"/>
                <w:szCs w:val="32"/>
              </w:rPr>
            </w:pPr>
          </w:p>
        </w:tc>
        <w:tc>
          <w:tcPr>
            <w:tcW w:w="1556" w:type="dxa"/>
            <w:vAlign w:val="center"/>
          </w:tcPr>
          <w:p w14:paraId="58763609">
            <w:pPr>
              <w:spacing w:line="560" w:lineRule="exact"/>
              <w:jc w:val="center"/>
              <w:rPr>
                <w:rFonts w:hint="eastAsia" w:ascii="仿宋_GB2312" w:hAnsi="宋体" w:eastAsia="仿宋_GB2312" w:cs="宋体"/>
                <w:sz w:val="32"/>
                <w:szCs w:val="32"/>
              </w:rPr>
            </w:pPr>
          </w:p>
        </w:tc>
        <w:tc>
          <w:tcPr>
            <w:tcW w:w="1744" w:type="dxa"/>
            <w:vAlign w:val="center"/>
          </w:tcPr>
          <w:p w14:paraId="4A03CAD0">
            <w:pPr>
              <w:spacing w:line="560" w:lineRule="exact"/>
              <w:jc w:val="center"/>
              <w:rPr>
                <w:rFonts w:hint="eastAsia" w:ascii="仿宋_GB2312" w:hAnsi="宋体" w:eastAsia="仿宋_GB2312" w:cs="宋体"/>
                <w:sz w:val="32"/>
                <w:szCs w:val="32"/>
              </w:rPr>
            </w:pPr>
          </w:p>
        </w:tc>
        <w:tc>
          <w:tcPr>
            <w:tcW w:w="1544" w:type="dxa"/>
            <w:vAlign w:val="center"/>
          </w:tcPr>
          <w:p w14:paraId="0E887BB6">
            <w:pPr>
              <w:spacing w:line="560" w:lineRule="exact"/>
              <w:jc w:val="center"/>
              <w:rPr>
                <w:rFonts w:hint="eastAsia" w:ascii="仿宋_GB2312" w:hAnsi="宋体" w:eastAsia="仿宋_GB2312" w:cs="宋体"/>
                <w:sz w:val="32"/>
                <w:szCs w:val="32"/>
              </w:rPr>
            </w:pPr>
          </w:p>
        </w:tc>
      </w:tr>
      <w:tr w14:paraId="55B2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44" w:type="dxa"/>
            <w:vAlign w:val="center"/>
          </w:tcPr>
          <w:p w14:paraId="58A7E01D">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2</w:t>
            </w:r>
          </w:p>
        </w:tc>
        <w:tc>
          <w:tcPr>
            <w:tcW w:w="541" w:type="dxa"/>
            <w:vAlign w:val="center"/>
          </w:tcPr>
          <w:p w14:paraId="3B4D9F90">
            <w:pPr>
              <w:spacing w:line="560" w:lineRule="exact"/>
              <w:jc w:val="center"/>
              <w:rPr>
                <w:rFonts w:hint="eastAsia" w:ascii="仿宋_GB2312" w:hAnsi="宋体" w:eastAsia="仿宋_GB2312" w:cs="宋体"/>
                <w:sz w:val="32"/>
                <w:szCs w:val="32"/>
              </w:rPr>
            </w:pPr>
          </w:p>
        </w:tc>
        <w:tc>
          <w:tcPr>
            <w:tcW w:w="744" w:type="dxa"/>
            <w:vAlign w:val="center"/>
          </w:tcPr>
          <w:p w14:paraId="2BEF27C9">
            <w:pPr>
              <w:spacing w:line="560" w:lineRule="exact"/>
              <w:jc w:val="center"/>
              <w:rPr>
                <w:rFonts w:hint="eastAsia" w:ascii="仿宋_GB2312" w:hAnsi="宋体" w:eastAsia="仿宋_GB2312" w:cs="宋体"/>
                <w:sz w:val="32"/>
                <w:szCs w:val="32"/>
              </w:rPr>
            </w:pPr>
          </w:p>
        </w:tc>
        <w:tc>
          <w:tcPr>
            <w:tcW w:w="989" w:type="dxa"/>
            <w:vAlign w:val="center"/>
          </w:tcPr>
          <w:p w14:paraId="10D62702">
            <w:pPr>
              <w:spacing w:line="560" w:lineRule="exact"/>
              <w:jc w:val="center"/>
              <w:rPr>
                <w:rFonts w:hint="eastAsia" w:ascii="仿宋_GB2312" w:hAnsi="宋体" w:eastAsia="仿宋_GB2312" w:cs="宋体"/>
                <w:sz w:val="32"/>
                <w:szCs w:val="32"/>
              </w:rPr>
            </w:pPr>
          </w:p>
        </w:tc>
        <w:tc>
          <w:tcPr>
            <w:tcW w:w="1055" w:type="dxa"/>
            <w:vAlign w:val="center"/>
          </w:tcPr>
          <w:p w14:paraId="02A33B2B">
            <w:pPr>
              <w:spacing w:line="560" w:lineRule="exact"/>
              <w:jc w:val="center"/>
              <w:rPr>
                <w:rFonts w:hint="eastAsia" w:ascii="仿宋_GB2312" w:hAnsi="宋体" w:eastAsia="仿宋_GB2312" w:cs="宋体"/>
                <w:sz w:val="32"/>
                <w:szCs w:val="32"/>
              </w:rPr>
            </w:pPr>
          </w:p>
        </w:tc>
        <w:tc>
          <w:tcPr>
            <w:tcW w:w="1556" w:type="dxa"/>
            <w:vAlign w:val="center"/>
          </w:tcPr>
          <w:p w14:paraId="4B218004">
            <w:pPr>
              <w:spacing w:line="560" w:lineRule="exact"/>
              <w:jc w:val="center"/>
              <w:rPr>
                <w:rFonts w:hint="eastAsia" w:ascii="仿宋_GB2312" w:hAnsi="宋体" w:eastAsia="仿宋_GB2312" w:cs="宋体"/>
                <w:sz w:val="32"/>
                <w:szCs w:val="32"/>
              </w:rPr>
            </w:pPr>
          </w:p>
        </w:tc>
        <w:tc>
          <w:tcPr>
            <w:tcW w:w="1744" w:type="dxa"/>
            <w:vAlign w:val="center"/>
          </w:tcPr>
          <w:p w14:paraId="5F38F76A">
            <w:pPr>
              <w:spacing w:line="560" w:lineRule="exact"/>
              <w:jc w:val="center"/>
              <w:rPr>
                <w:rFonts w:hint="eastAsia" w:ascii="仿宋_GB2312" w:hAnsi="宋体" w:eastAsia="仿宋_GB2312" w:cs="宋体"/>
                <w:sz w:val="32"/>
                <w:szCs w:val="32"/>
              </w:rPr>
            </w:pPr>
          </w:p>
        </w:tc>
        <w:tc>
          <w:tcPr>
            <w:tcW w:w="1544" w:type="dxa"/>
            <w:vAlign w:val="center"/>
          </w:tcPr>
          <w:p w14:paraId="277885CF">
            <w:pPr>
              <w:spacing w:line="560" w:lineRule="exact"/>
              <w:jc w:val="center"/>
              <w:rPr>
                <w:rFonts w:hint="eastAsia" w:ascii="仿宋_GB2312" w:hAnsi="宋体" w:eastAsia="仿宋_GB2312" w:cs="宋体"/>
                <w:sz w:val="32"/>
                <w:szCs w:val="32"/>
              </w:rPr>
            </w:pPr>
          </w:p>
        </w:tc>
      </w:tr>
      <w:tr w14:paraId="6FE3D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44" w:type="dxa"/>
            <w:vAlign w:val="center"/>
          </w:tcPr>
          <w:p w14:paraId="2F03CBA7">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3</w:t>
            </w:r>
          </w:p>
        </w:tc>
        <w:tc>
          <w:tcPr>
            <w:tcW w:w="541" w:type="dxa"/>
            <w:vAlign w:val="center"/>
          </w:tcPr>
          <w:p w14:paraId="3FA88F79">
            <w:pPr>
              <w:spacing w:line="560" w:lineRule="exact"/>
              <w:jc w:val="center"/>
              <w:rPr>
                <w:rFonts w:hint="eastAsia" w:ascii="仿宋_GB2312" w:hAnsi="宋体" w:eastAsia="仿宋_GB2312" w:cs="宋体"/>
                <w:sz w:val="32"/>
                <w:szCs w:val="32"/>
              </w:rPr>
            </w:pPr>
          </w:p>
        </w:tc>
        <w:tc>
          <w:tcPr>
            <w:tcW w:w="744" w:type="dxa"/>
            <w:vAlign w:val="center"/>
          </w:tcPr>
          <w:p w14:paraId="4094EB93">
            <w:pPr>
              <w:spacing w:line="560" w:lineRule="exact"/>
              <w:jc w:val="center"/>
              <w:rPr>
                <w:rFonts w:hint="eastAsia" w:ascii="仿宋_GB2312" w:hAnsi="宋体" w:eastAsia="仿宋_GB2312" w:cs="宋体"/>
                <w:sz w:val="32"/>
                <w:szCs w:val="32"/>
              </w:rPr>
            </w:pPr>
          </w:p>
        </w:tc>
        <w:tc>
          <w:tcPr>
            <w:tcW w:w="989" w:type="dxa"/>
            <w:vAlign w:val="center"/>
          </w:tcPr>
          <w:p w14:paraId="2C1E3F58">
            <w:pPr>
              <w:spacing w:line="560" w:lineRule="exact"/>
              <w:jc w:val="center"/>
              <w:rPr>
                <w:rFonts w:hint="eastAsia" w:ascii="仿宋_GB2312" w:hAnsi="宋体" w:eastAsia="仿宋_GB2312" w:cs="宋体"/>
                <w:sz w:val="32"/>
                <w:szCs w:val="32"/>
              </w:rPr>
            </w:pPr>
          </w:p>
        </w:tc>
        <w:tc>
          <w:tcPr>
            <w:tcW w:w="1055" w:type="dxa"/>
            <w:vAlign w:val="center"/>
          </w:tcPr>
          <w:p w14:paraId="1F70DDC0">
            <w:pPr>
              <w:spacing w:line="560" w:lineRule="exact"/>
              <w:jc w:val="center"/>
              <w:rPr>
                <w:rFonts w:hint="eastAsia" w:ascii="仿宋_GB2312" w:hAnsi="宋体" w:eastAsia="仿宋_GB2312" w:cs="宋体"/>
                <w:sz w:val="32"/>
                <w:szCs w:val="32"/>
              </w:rPr>
            </w:pPr>
          </w:p>
        </w:tc>
        <w:tc>
          <w:tcPr>
            <w:tcW w:w="1556" w:type="dxa"/>
            <w:vAlign w:val="center"/>
          </w:tcPr>
          <w:p w14:paraId="47F7CCDE">
            <w:pPr>
              <w:spacing w:line="560" w:lineRule="exact"/>
              <w:jc w:val="center"/>
              <w:rPr>
                <w:rFonts w:hint="eastAsia" w:ascii="仿宋_GB2312" w:hAnsi="宋体" w:eastAsia="仿宋_GB2312" w:cs="宋体"/>
                <w:sz w:val="32"/>
                <w:szCs w:val="32"/>
              </w:rPr>
            </w:pPr>
          </w:p>
        </w:tc>
        <w:tc>
          <w:tcPr>
            <w:tcW w:w="1744" w:type="dxa"/>
            <w:vAlign w:val="center"/>
          </w:tcPr>
          <w:p w14:paraId="087B2A62">
            <w:pPr>
              <w:spacing w:line="560" w:lineRule="exact"/>
              <w:jc w:val="center"/>
              <w:rPr>
                <w:rFonts w:hint="eastAsia" w:ascii="仿宋_GB2312" w:hAnsi="宋体" w:eastAsia="仿宋_GB2312" w:cs="宋体"/>
                <w:sz w:val="32"/>
                <w:szCs w:val="32"/>
              </w:rPr>
            </w:pPr>
          </w:p>
        </w:tc>
        <w:tc>
          <w:tcPr>
            <w:tcW w:w="1544" w:type="dxa"/>
            <w:vAlign w:val="center"/>
          </w:tcPr>
          <w:p w14:paraId="78159AE2">
            <w:pPr>
              <w:spacing w:line="560" w:lineRule="exact"/>
              <w:jc w:val="center"/>
              <w:rPr>
                <w:rFonts w:hint="eastAsia" w:ascii="仿宋_GB2312" w:hAnsi="宋体" w:eastAsia="仿宋_GB2312" w:cs="宋体"/>
                <w:sz w:val="32"/>
                <w:szCs w:val="32"/>
              </w:rPr>
            </w:pPr>
          </w:p>
        </w:tc>
      </w:tr>
      <w:tr w14:paraId="21982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44" w:type="dxa"/>
            <w:vAlign w:val="center"/>
          </w:tcPr>
          <w:p w14:paraId="1236AC9A">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4</w:t>
            </w:r>
          </w:p>
        </w:tc>
        <w:tc>
          <w:tcPr>
            <w:tcW w:w="541" w:type="dxa"/>
            <w:vAlign w:val="center"/>
          </w:tcPr>
          <w:p w14:paraId="5688393B">
            <w:pPr>
              <w:spacing w:line="560" w:lineRule="exact"/>
              <w:jc w:val="center"/>
              <w:rPr>
                <w:rFonts w:hint="eastAsia" w:ascii="仿宋_GB2312" w:hAnsi="宋体" w:eastAsia="仿宋_GB2312" w:cs="宋体"/>
                <w:sz w:val="32"/>
                <w:szCs w:val="32"/>
              </w:rPr>
            </w:pPr>
          </w:p>
        </w:tc>
        <w:tc>
          <w:tcPr>
            <w:tcW w:w="744" w:type="dxa"/>
            <w:vAlign w:val="center"/>
          </w:tcPr>
          <w:p w14:paraId="4308697F">
            <w:pPr>
              <w:spacing w:line="560" w:lineRule="exact"/>
              <w:jc w:val="center"/>
              <w:rPr>
                <w:rFonts w:hint="eastAsia" w:ascii="仿宋_GB2312" w:hAnsi="宋体" w:eastAsia="仿宋_GB2312" w:cs="宋体"/>
                <w:sz w:val="32"/>
                <w:szCs w:val="32"/>
              </w:rPr>
            </w:pPr>
          </w:p>
        </w:tc>
        <w:tc>
          <w:tcPr>
            <w:tcW w:w="989" w:type="dxa"/>
            <w:vAlign w:val="center"/>
          </w:tcPr>
          <w:p w14:paraId="34C3F78B">
            <w:pPr>
              <w:spacing w:line="560" w:lineRule="exact"/>
              <w:jc w:val="center"/>
              <w:rPr>
                <w:rFonts w:hint="eastAsia" w:ascii="仿宋_GB2312" w:hAnsi="宋体" w:eastAsia="仿宋_GB2312" w:cs="宋体"/>
                <w:sz w:val="32"/>
                <w:szCs w:val="32"/>
              </w:rPr>
            </w:pPr>
          </w:p>
        </w:tc>
        <w:tc>
          <w:tcPr>
            <w:tcW w:w="1055" w:type="dxa"/>
            <w:vAlign w:val="center"/>
          </w:tcPr>
          <w:p w14:paraId="5CFC5122">
            <w:pPr>
              <w:spacing w:line="560" w:lineRule="exact"/>
              <w:jc w:val="center"/>
              <w:rPr>
                <w:rFonts w:hint="eastAsia" w:ascii="仿宋_GB2312" w:hAnsi="宋体" w:eastAsia="仿宋_GB2312" w:cs="宋体"/>
                <w:sz w:val="32"/>
                <w:szCs w:val="32"/>
              </w:rPr>
            </w:pPr>
          </w:p>
        </w:tc>
        <w:tc>
          <w:tcPr>
            <w:tcW w:w="1556" w:type="dxa"/>
            <w:vAlign w:val="center"/>
          </w:tcPr>
          <w:p w14:paraId="56C163AF">
            <w:pPr>
              <w:spacing w:line="560" w:lineRule="exact"/>
              <w:jc w:val="center"/>
              <w:rPr>
                <w:rFonts w:hint="eastAsia" w:ascii="仿宋_GB2312" w:hAnsi="宋体" w:eastAsia="仿宋_GB2312" w:cs="宋体"/>
                <w:sz w:val="32"/>
                <w:szCs w:val="32"/>
              </w:rPr>
            </w:pPr>
          </w:p>
        </w:tc>
        <w:tc>
          <w:tcPr>
            <w:tcW w:w="1744" w:type="dxa"/>
            <w:vAlign w:val="center"/>
          </w:tcPr>
          <w:p w14:paraId="541A24B6">
            <w:pPr>
              <w:spacing w:line="560" w:lineRule="exact"/>
              <w:jc w:val="center"/>
              <w:rPr>
                <w:rFonts w:hint="eastAsia" w:ascii="仿宋_GB2312" w:hAnsi="宋体" w:eastAsia="仿宋_GB2312" w:cs="宋体"/>
                <w:sz w:val="32"/>
                <w:szCs w:val="32"/>
              </w:rPr>
            </w:pPr>
          </w:p>
        </w:tc>
        <w:tc>
          <w:tcPr>
            <w:tcW w:w="1544" w:type="dxa"/>
            <w:vAlign w:val="center"/>
          </w:tcPr>
          <w:p w14:paraId="09FF48CA">
            <w:pPr>
              <w:spacing w:line="560" w:lineRule="exact"/>
              <w:jc w:val="center"/>
              <w:rPr>
                <w:rFonts w:hint="eastAsia" w:ascii="仿宋_GB2312" w:hAnsi="宋体" w:eastAsia="仿宋_GB2312" w:cs="宋体"/>
                <w:sz w:val="32"/>
                <w:szCs w:val="32"/>
              </w:rPr>
            </w:pPr>
          </w:p>
        </w:tc>
      </w:tr>
      <w:tr w14:paraId="42DBD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4" w:type="dxa"/>
            <w:vAlign w:val="center"/>
          </w:tcPr>
          <w:p w14:paraId="65D236D7">
            <w:pPr>
              <w:spacing w:line="560" w:lineRule="exact"/>
              <w:jc w:val="center"/>
              <w:rPr>
                <w:rFonts w:hint="eastAsia" w:ascii="仿宋_GB2312" w:hAnsi="宋体" w:eastAsia="仿宋_GB2312" w:cs="宋体"/>
                <w:sz w:val="32"/>
                <w:szCs w:val="32"/>
              </w:rPr>
            </w:pPr>
            <w:r>
              <w:rPr>
                <w:rFonts w:hint="eastAsia" w:ascii="仿宋_GB2312" w:hAnsi="宋体" w:eastAsia="仿宋_GB2312" w:cs="宋体"/>
                <w:sz w:val="32"/>
                <w:szCs w:val="32"/>
              </w:rPr>
              <w:t>5</w:t>
            </w:r>
          </w:p>
        </w:tc>
        <w:tc>
          <w:tcPr>
            <w:tcW w:w="541" w:type="dxa"/>
            <w:vAlign w:val="center"/>
          </w:tcPr>
          <w:p w14:paraId="4C8EBFC1">
            <w:pPr>
              <w:spacing w:line="560" w:lineRule="exact"/>
              <w:jc w:val="center"/>
              <w:rPr>
                <w:rFonts w:hint="eastAsia" w:ascii="仿宋_GB2312" w:hAnsi="宋体" w:eastAsia="仿宋_GB2312" w:cs="宋体"/>
                <w:sz w:val="32"/>
                <w:szCs w:val="32"/>
              </w:rPr>
            </w:pPr>
          </w:p>
        </w:tc>
        <w:tc>
          <w:tcPr>
            <w:tcW w:w="744" w:type="dxa"/>
            <w:vAlign w:val="center"/>
          </w:tcPr>
          <w:p w14:paraId="1B5F2D4D">
            <w:pPr>
              <w:spacing w:line="560" w:lineRule="exact"/>
              <w:jc w:val="center"/>
              <w:rPr>
                <w:rFonts w:hint="eastAsia" w:ascii="仿宋_GB2312" w:hAnsi="宋体" w:eastAsia="仿宋_GB2312" w:cs="宋体"/>
                <w:sz w:val="32"/>
                <w:szCs w:val="32"/>
              </w:rPr>
            </w:pPr>
          </w:p>
        </w:tc>
        <w:tc>
          <w:tcPr>
            <w:tcW w:w="989" w:type="dxa"/>
            <w:vAlign w:val="center"/>
          </w:tcPr>
          <w:p w14:paraId="2D59A2D0">
            <w:pPr>
              <w:spacing w:line="560" w:lineRule="exact"/>
              <w:jc w:val="center"/>
              <w:rPr>
                <w:rFonts w:hint="eastAsia" w:ascii="仿宋_GB2312" w:hAnsi="宋体" w:eastAsia="仿宋_GB2312" w:cs="宋体"/>
                <w:sz w:val="32"/>
                <w:szCs w:val="32"/>
              </w:rPr>
            </w:pPr>
          </w:p>
        </w:tc>
        <w:tc>
          <w:tcPr>
            <w:tcW w:w="1055" w:type="dxa"/>
            <w:vAlign w:val="center"/>
          </w:tcPr>
          <w:p w14:paraId="62C7D61C">
            <w:pPr>
              <w:spacing w:line="560" w:lineRule="exact"/>
              <w:jc w:val="center"/>
              <w:rPr>
                <w:rFonts w:hint="eastAsia" w:ascii="仿宋_GB2312" w:hAnsi="宋体" w:eastAsia="仿宋_GB2312" w:cs="宋体"/>
                <w:sz w:val="32"/>
                <w:szCs w:val="32"/>
              </w:rPr>
            </w:pPr>
          </w:p>
        </w:tc>
        <w:tc>
          <w:tcPr>
            <w:tcW w:w="1556" w:type="dxa"/>
            <w:vAlign w:val="center"/>
          </w:tcPr>
          <w:p w14:paraId="276DD421">
            <w:pPr>
              <w:spacing w:line="560" w:lineRule="exact"/>
              <w:jc w:val="center"/>
              <w:rPr>
                <w:rFonts w:hint="eastAsia" w:ascii="仿宋_GB2312" w:hAnsi="宋体" w:eastAsia="仿宋_GB2312" w:cs="宋体"/>
                <w:sz w:val="32"/>
                <w:szCs w:val="32"/>
              </w:rPr>
            </w:pPr>
          </w:p>
        </w:tc>
        <w:tc>
          <w:tcPr>
            <w:tcW w:w="1744" w:type="dxa"/>
            <w:vAlign w:val="center"/>
          </w:tcPr>
          <w:p w14:paraId="3B6FB54E">
            <w:pPr>
              <w:spacing w:line="560" w:lineRule="exact"/>
              <w:jc w:val="center"/>
              <w:rPr>
                <w:rFonts w:hint="eastAsia" w:ascii="仿宋_GB2312" w:hAnsi="宋体" w:eastAsia="仿宋_GB2312" w:cs="宋体"/>
                <w:sz w:val="32"/>
                <w:szCs w:val="32"/>
              </w:rPr>
            </w:pPr>
          </w:p>
        </w:tc>
        <w:tc>
          <w:tcPr>
            <w:tcW w:w="1544" w:type="dxa"/>
            <w:vAlign w:val="center"/>
          </w:tcPr>
          <w:p w14:paraId="478B3778">
            <w:pPr>
              <w:spacing w:line="560" w:lineRule="exact"/>
              <w:jc w:val="center"/>
              <w:rPr>
                <w:rFonts w:hint="eastAsia" w:ascii="仿宋_GB2312" w:hAnsi="宋体" w:eastAsia="仿宋_GB2312" w:cs="宋体"/>
                <w:sz w:val="32"/>
                <w:szCs w:val="32"/>
              </w:rPr>
            </w:pPr>
          </w:p>
        </w:tc>
      </w:tr>
    </w:tbl>
    <w:p w14:paraId="1D6A4836">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6.技术</w:t>
      </w:r>
      <w:r>
        <w:rPr>
          <w:rFonts w:hint="eastAsia" w:ascii="方正仿宋_GB2312" w:hAnsi="方正仿宋_GB2312" w:eastAsia="方正仿宋_GB2312" w:cs="方正仿宋_GB2312"/>
          <w:sz w:val="32"/>
          <w:szCs w:val="32"/>
        </w:rPr>
        <w:t>应用证明材料（项目合同、验收报告、应用单位证明等）。</w:t>
      </w:r>
    </w:p>
    <w:p w14:paraId="6A3F3F20">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b w:val="0"/>
          <w:sz w:val="32"/>
          <w:szCs w:val="32"/>
        </w:rPr>
      </w:pPr>
      <w:r>
        <w:rPr>
          <w:rFonts w:hint="eastAsia" w:ascii="方正仿宋_GB2312" w:hAnsi="方正仿宋_GB2312" w:eastAsia="方正仿宋_GB2312" w:cs="方正仿宋_GB2312"/>
          <w:sz w:val="32"/>
          <w:szCs w:val="32"/>
          <w:lang w:val="en-US" w:eastAsia="zh-CN"/>
        </w:rPr>
        <w:t>7.如具备条件，应提交</w:t>
      </w:r>
      <w:r>
        <w:rPr>
          <w:rFonts w:hint="eastAsia" w:ascii="方正仿宋_GB2312" w:hAnsi="方正仿宋_GB2312" w:eastAsia="方正仿宋_GB2312" w:cs="方正仿宋_GB2312"/>
          <w:sz w:val="32"/>
          <w:szCs w:val="32"/>
        </w:rPr>
        <w:t>实测减排数据报告（连续运行不少于3个月，核算边界符合GB/T 32150及相关行业标准；城乡建设领域项目提供不少于一年的运行数据</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i w:val="0"/>
          <w:iCs w:val="0"/>
          <w:caps w:val="0"/>
          <w:spacing w:val="0"/>
          <w:sz w:val="32"/>
          <w:szCs w:val="32"/>
          <w:shd w:val="clear"/>
        </w:rPr>
        <w:t>减排量核算方法应参照国家已出台的温室气体排放核算方法，或提供详细测算说明</w:t>
      </w:r>
      <w:r>
        <w:rPr>
          <w:rFonts w:hint="eastAsia" w:ascii="方正仿宋_GB2312" w:hAnsi="方正仿宋_GB2312" w:eastAsia="方正仿宋_GB2312" w:cs="方正仿宋_GB2312"/>
          <w:sz w:val="32"/>
          <w:szCs w:val="32"/>
        </w:rPr>
        <w:t>）。</w:t>
      </w:r>
    </w:p>
    <w:p w14:paraId="00E9BF96">
      <w:pPr>
        <w:pStyle w:val="11"/>
        <w:numPr>
          <w:ilvl w:val="-1"/>
          <w:numId w:val="0"/>
        </w:numPr>
        <w:topLinePunct w:val="0"/>
        <w:snapToGrid w:val="0"/>
        <w:spacing w:line="360" w:lineRule="auto"/>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经济指标测算报告（投资回收期、单位减排成本等）。优先推荐投资回收期在3～8年内的技术，对于</w:t>
      </w:r>
      <w:r>
        <w:rPr>
          <w:rFonts w:hint="eastAsia" w:ascii="方正仿宋_GB2312" w:hAnsi="方正仿宋_GB2312" w:eastAsia="方正仿宋_GB2312" w:cs="方正仿宋_GB2312"/>
          <w:sz w:val="32"/>
          <w:szCs w:val="32"/>
          <w:lang w:val="en-US" w:eastAsia="zh-CN"/>
        </w:rPr>
        <w:t>减排及经济</w:t>
      </w:r>
      <w:r>
        <w:rPr>
          <w:rFonts w:hint="eastAsia" w:ascii="方正仿宋_GB2312" w:hAnsi="方正仿宋_GB2312" w:eastAsia="方正仿宋_GB2312" w:cs="方正仿宋_GB2312"/>
          <w:sz w:val="32"/>
          <w:szCs w:val="32"/>
        </w:rPr>
        <w:t>效益显著的技术可适当放宽。</w:t>
      </w:r>
    </w:p>
    <w:p w14:paraId="229BD4FC">
      <w:pPr>
        <w:pStyle w:val="2"/>
        <w:numPr>
          <w:ilvl w:val="0"/>
          <w:numId w:val="1"/>
        </w:numPr>
        <w:topLinePunct w:val="0"/>
        <w:snapToGrid w:val="0"/>
        <w:spacing w:line="360" w:lineRule="auto"/>
        <w:ind w:left="0" w:leftChars="0" w:firstLine="0" w:firstLineChars="0"/>
        <w:rPr>
          <w:rFonts w:hint="eastAsia" w:ascii="黑体" w:hAnsi="黑体" w:eastAsia="黑体" w:cs="黑体"/>
          <w:b/>
          <w:bCs/>
          <w:sz w:val="32"/>
          <w:szCs w:val="32"/>
        </w:rPr>
      </w:pPr>
      <w:r>
        <w:rPr>
          <w:rFonts w:hint="eastAsia" w:ascii="黑体" w:hAnsi="黑体" w:eastAsia="黑体" w:cs="黑体"/>
          <w:b/>
          <w:bCs/>
          <w:sz w:val="32"/>
          <w:szCs w:val="32"/>
        </w:rPr>
        <w:t>提交时间</w:t>
      </w:r>
    </w:p>
    <w:p w14:paraId="5D9F4B46">
      <w:pPr>
        <w:pStyle w:val="11"/>
        <w:snapToGrid w:val="0"/>
        <w:spacing w:line="360" w:lineRule="auto"/>
        <w:ind w:left="0" w:leftChars="0" w:firstLine="640" w:firstLineChars="200"/>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2025年度“中国好技术”双碳领域专项征集的截止日期为2026年</w:t>
      </w:r>
      <w:r>
        <w:rPr>
          <w:rFonts w:hint="eastAsia" w:ascii="方正仿宋_GB2312" w:hAnsi="方正仿宋_GB2312" w:eastAsia="方正仿宋_GB2312" w:cs="方正仿宋_GB2312"/>
          <w:sz w:val="32"/>
          <w:szCs w:val="32"/>
          <w:highlight w:val="none"/>
          <w:lang w:val="en-US" w:eastAsia="zh-CN"/>
        </w:rPr>
        <w:t>6</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rPr>
        <w:t>0日。请各申报单位在2026年</w:t>
      </w:r>
      <w:r>
        <w:rPr>
          <w:rFonts w:hint="eastAsia" w:ascii="方正仿宋_GB2312" w:hAnsi="方正仿宋_GB2312" w:eastAsia="方正仿宋_GB2312" w:cs="方正仿宋_GB2312"/>
          <w:sz w:val="32"/>
          <w:szCs w:val="32"/>
          <w:highlight w:val="none"/>
          <w:lang w:val="en-US" w:eastAsia="zh-CN"/>
        </w:rPr>
        <w:t>6</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rPr>
        <w:t>0日前，将征集和推荐的“中国好技术”材料（一式一份）寄到通讯地址。</w:t>
      </w:r>
    </w:p>
    <w:p w14:paraId="120ADF14">
      <w:pPr>
        <w:pStyle w:val="11"/>
        <w:snapToGrid w:val="0"/>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双碳领域专项征集作为2025年度“中国好技术”评选活动的组成部分，入选项目将统一纳入“中国好技术”项目库。</w:t>
      </w:r>
    </w:p>
    <w:p w14:paraId="78EED843">
      <w:pPr>
        <w:pStyle w:val="11"/>
        <w:snapToGrid w:val="0"/>
        <w:spacing w:line="360" w:lineRule="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中国好技术”双碳领域专项入选情况将通过中国生产力促进中心协会及双碳产业发展专业委员会的各类平台在国内外进行广泛推介，优先向国家级零碳园区、标杆零碳工厂等推荐应用，获得科技成果转化、技术交易合作、品牌形象塑造、金融投资支持等服务。</w:t>
      </w:r>
    </w:p>
    <w:p w14:paraId="7EB23EBB">
      <w:pPr>
        <w:pStyle w:val="11"/>
        <w:snapToGrid w:val="0"/>
        <w:spacing w:line="360" w:lineRule="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“中国好技术”</w:t>
      </w:r>
      <w:r>
        <w:rPr>
          <w:rFonts w:hint="eastAsia" w:ascii="方正仿宋_GB2312" w:hAnsi="方正仿宋_GB2312" w:eastAsia="方正仿宋_GB2312" w:cs="方正仿宋_GB2312"/>
          <w:sz w:val="32"/>
          <w:szCs w:val="32"/>
          <w:highlight w:val="none"/>
          <w:lang w:val="en-US" w:eastAsia="zh-CN"/>
        </w:rPr>
        <w:t>双碳领域专项</w:t>
      </w:r>
      <w:r>
        <w:rPr>
          <w:rFonts w:hint="eastAsia" w:ascii="方正仿宋_GB2312" w:hAnsi="方正仿宋_GB2312" w:eastAsia="方正仿宋_GB2312" w:cs="方正仿宋_GB2312"/>
          <w:sz w:val="32"/>
          <w:szCs w:val="32"/>
          <w:highlight w:val="none"/>
        </w:rPr>
        <w:t>征集工作为公益性活动。</w:t>
      </w:r>
    </w:p>
    <w:p w14:paraId="009E3E14">
      <w:pPr>
        <w:pStyle w:val="2"/>
        <w:numPr>
          <w:ilvl w:val="0"/>
          <w:numId w:val="1"/>
        </w:numPr>
        <w:topLinePunct w:val="0"/>
        <w:snapToGrid w:val="0"/>
        <w:spacing w:line="360" w:lineRule="auto"/>
        <w:ind w:left="0" w:leftChars="0" w:firstLine="0" w:firstLineChars="0"/>
        <w:rPr>
          <w:rFonts w:hint="eastAsia" w:ascii="黑体" w:hAnsi="黑体" w:eastAsia="黑体" w:cs="黑体"/>
          <w:b/>
          <w:bCs/>
          <w:sz w:val="32"/>
          <w:szCs w:val="32"/>
        </w:rPr>
      </w:pPr>
      <w:r>
        <w:rPr>
          <w:rFonts w:hint="eastAsia" w:ascii="黑体" w:hAnsi="黑体" w:eastAsia="黑体" w:cs="黑体"/>
          <w:b/>
          <w:bCs/>
          <w:sz w:val="32"/>
          <w:szCs w:val="32"/>
        </w:rPr>
        <w:t>联系方式</w:t>
      </w:r>
    </w:p>
    <w:p w14:paraId="4598FCCA">
      <w:pPr>
        <w:pStyle w:val="11"/>
        <w:snapToGrid w:val="0"/>
        <w:spacing w:line="360" w:lineRule="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联系单位：中国生产力促进中心协会双碳产业发展专业委员会</w:t>
      </w:r>
    </w:p>
    <w:p w14:paraId="2E06BBAB">
      <w:pPr>
        <w:pStyle w:val="11"/>
        <w:snapToGrid w:val="0"/>
        <w:spacing w:line="360" w:lineRule="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联 系 人：李汝金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霍丽燕</w:t>
      </w:r>
    </w:p>
    <w:p w14:paraId="4FA87DE1">
      <w:pPr>
        <w:pStyle w:val="11"/>
        <w:snapToGrid w:val="0"/>
        <w:spacing w:line="360" w:lineRule="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联系电话：18801173666</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15901284265</w:t>
      </w:r>
    </w:p>
    <w:p w14:paraId="7BFD83AC">
      <w:pPr>
        <w:pStyle w:val="11"/>
        <w:snapToGrid w:val="0"/>
        <w:spacing w:line="360" w:lineRule="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邮 </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箱：stcyzwh@163.com</w:t>
      </w:r>
    </w:p>
    <w:p w14:paraId="187F94EF">
      <w:pPr>
        <w:pStyle w:val="11"/>
        <w:snapToGrid w:val="0"/>
        <w:spacing w:line="360" w:lineRule="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通信</w:t>
      </w:r>
      <w:r>
        <w:rPr>
          <w:rFonts w:hint="eastAsia" w:ascii="方正仿宋_GB2312" w:hAnsi="方正仿宋_GB2312" w:eastAsia="方正仿宋_GB2312" w:cs="方正仿宋_GB2312"/>
          <w:sz w:val="32"/>
          <w:szCs w:val="32"/>
        </w:rPr>
        <w:t>地址：北京市海淀区复兴路</w:t>
      </w:r>
      <w:r>
        <w:rPr>
          <w:rFonts w:hint="eastAsia" w:ascii="方正仿宋_GB2312" w:hAnsi="方正仿宋_GB2312" w:eastAsia="方正仿宋_GB2312" w:cs="方正仿宋_GB2312"/>
          <w:sz w:val="32"/>
          <w:szCs w:val="32"/>
          <w:lang w:val="en-US" w:eastAsia="zh-CN"/>
        </w:rPr>
        <w:t>21</w:t>
      </w:r>
      <w:r>
        <w:rPr>
          <w:rFonts w:hint="eastAsia" w:ascii="方正仿宋_GB2312" w:hAnsi="方正仿宋_GB2312" w:eastAsia="方正仿宋_GB2312" w:cs="方正仿宋_GB2312"/>
          <w:sz w:val="32"/>
          <w:szCs w:val="32"/>
        </w:rPr>
        <w:t>号</w:t>
      </w:r>
    </w:p>
    <w:p w14:paraId="0402D658">
      <w:pPr>
        <w:adjustRightInd w:val="0"/>
        <w:snapToGrid w:val="0"/>
        <w:spacing w:line="360" w:lineRule="auto"/>
        <w:rPr>
          <w:rFonts w:hint="eastAsia" w:ascii="方正仿宋_GB2312" w:hAnsi="方正仿宋_GB2312" w:eastAsia="方正仿宋_GB2312" w:cs="方正仿宋_GB2312"/>
          <w:sz w:val="32"/>
          <w:szCs w:val="32"/>
          <w:highlight w:val="none"/>
        </w:rPr>
      </w:pPr>
    </w:p>
    <w:p w14:paraId="1B228DB7">
      <w:pPr>
        <w:adjustRightInd w:val="0"/>
        <w:snapToGrid w:val="0"/>
        <w:spacing w:line="360" w:lineRule="auto"/>
        <w:jc w:val="center"/>
        <w:rPr>
          <w:rFonts w:hint="eastAsia" w:ascii="方正仿宋_GB2312" w:hAnsi="方正仿宋_GB2312" w:eastAsia="方正仿宋_GB2312" w:cs="方正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KSOFE8859BCF">
    <w:panose1 w:val="02010609060101010101"/>
    <w:charset w:val="86"/>
    <w:family w:val="auto"/>
    <w:pitch w:val="default"/>
    <w:sig w:usb0="00000001" w:usb1="00000000" w:usb2="00000000" w:usb3="00000000" w:csb0="00040001" w:csb1="00000000"/>
  </w:font>
  <w:font w:name="KSOFE8852770">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6B22B0"/>
    <w:multiLevelType w:val="singleLevel"/>
    <w:tmpl w:val="B16B22B0"/>
    <w:lvl w:ilvl="0" w:tentative="0">
      <w:start w:val="1"/>
      <w:numFmt w:val="chineseCounting"/>
      <w:suff w:val="nothing"/>
      <w:lvlText w:val="%1、"/>
      <w:lvlJc w:val="left"/>
      <w:pPr>
        <w:ind w:left="0" w:firstLine="0"/>
      </w:pPr>
      <w:rPr>
        <w:rFonts w:hint="eastAsia"/>
      </w:rPr>
    </w:lvl>
  </w:abstractNum>
  <w:abstractNum w:abstractNumId="1">
    <w:nsid w:val="6914A9D2"/>
    <w:multiLevelType w:val="singleLevel"/>
    <w:tmpl w:val="6914A9D2"/>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1DEB"/>
    <w:rsid w:val="008D21F5"/>
    <w:rsid w:val="02471835"/>
    <w:rsid w:val="0328714A"/>
    <w:rsid w:val="03F11C32"/>
    <w:rsid w:val="04275653"/>
    <w:rsid w:val="07A90B17"/>
    <w:rsid w:val="09675855"/>
    <w:rsid w:val="0B116715"/>
    <w:rsid w:val="0C476893"/>
    <w:rsid w:val="0D260020"/>
    <w:rsid w:val="0F4F1EAC"/>
    <w:rsid w:val="0FFA40C8"/>
    <w:rsid w:val="117A355B"/>
    <w:rsid w:val="11A46680"/>
    <w:rsid w:val="121E62E8"/>
    <w:rsid w:val="13347445"/>
    <w:rsid w:val="1510411E"/>
    <w:rsid w:val="16295F26"/>
    <w:rsid w:val="16946B78"/>
    <w:rsid w:val="18673E19"/>
    <w:rsid w:val="19202380"/>
    <w:rsid w:val="1A373B13"/>
    <w:rsid w:val="1A911621"/>
    <w:rsid w:val="1D5C5F16"/>
    <w:rsid w:val="1EE97C47"/>
    <w:rsid w:val="1F59377E"/>
    <w:rsid w:val="1F686DF4"/>
    <w:rsid w:val="24480715"/>
    <w:rsid w:val="265A2AF6"/>
    <w:rsid w:val="2766748F"/>
    <w:rsid w:val="27BD0E67"/>
    <w:rsid w:val="283830DC"/>
    <w:rsid w:val="2A2811AA"/>
    <w:rsid w:val="2A7A5040"/>
    <w:rsid w:val="2B4D3342"/>
    <w:rsid w:val="2C2D41CB"/>
    <w:rsid w:val="2EA119DB"/>
    <w:rsid w:val="2FE46C46"/>
    <w:rsid w:val="303E14AB"/>
    <w:rsid w:val="308B658A"/>
    <w:rsid w:val="30AE4883"/>
    <w:rsid w:val="3118459C"/>
    <w:rsid w:val="34E24AFB"/>
    <w:rsid w:val="37831F48"/>
    <w:rsid w:val="38CA76E5"/>
    <w:rsid w:val="39045619"/>
    <w:rsid w:val="39A572D1"/>
    <w:rsid w:val="3AD048AA"/>
    <w:rsid w:val="3B245E6D"/>
    <w:rsid w:val="3BA50630"/>
    <w:rsid w:val="418D1221"/>
    <w:rsid w:val="425C78EF"/>
    <w:rsid w:val="478E39F4"/>
    <w:rsid w:val="47F0626B"/>
    <w:rsid w:val="485B27A2"/>
    <w:rsid w:val="494F34DB"/>
    <w:rsid w:val="4A64791A"/>
    <w:rsid w:val="4A8C77D9"/>
    <w:rsid w:val="4B783F5F"/>
    <w:rsid w:val="4BA821A3"/>
    <w:rsid w:val="4DF655F8"/>
    <w:rsid w:val="4EFD43C8"/>
    <w:rsid w:val="502B4D4B"/>
    <w:rsid w:val="5219158A"/>
    <w:rsid w:val="53894668"/>
    <w:rsid w:val="559D4FB6"/>
    <w:rsid w:val="55E03764"/>
    <w:rsid w:val="56A63783"/>
    <w:rsid w:val="575D086E"/>
    <w:rsid w:val="579801F1"/>
    <w:rsid w:val="589B0DE1"/>
    <w:rsid w:val="5A84380D"/>
    <w:rsid w:val="5B3F4688"/>
    <w:rsid w:val="5B59036D"/>
    <w:rsid w:val="5CB70400"/>
    <w:rsid w:val="5D1928CC"/>
    <w:rsid w:val="5D35760E"/>
    <w:rsid w:val="5D9E1657"/>
    <w:rsid w:val="5DAD1AA2"/>
    <w:rsid w:val="5DCA53F6"/>
    <w:rsid w:val="5E0B28A6"/>
    <w:rsid w:val="601B0D3D"/>
    <w:rsid w:val="603B13E0"/>
    <w:rsid w:val="615D47CA"/>
    <w:rsid w:val="61AA6A05"/>
    <w:rsid w:val="61FE0491"/>
    <w:rsid w:val="643C1282"/>
    <w:rsid w:val="64F02128"/>
    <w:rsid w:val="659531EB"/>
    <w:rsid w:val="65CB4FB4"/>
    <w:rsid w:val="66100C18"/>
    <w:rsid w:val="677A7E28"/>
    <w:rsid w:val="6828049B"/>
    <w:rsid w:val="68C84CF7"/>
    <w:rsid w:val="68CD42C1"/>
    <w:rsid w:val="69200ED4"/>
    <w:rsid w:val="6AA46814"/>
    <w:rsid w:val="6ACB4148"/>
    <w:rsid w:val="6B99345E"/>
    <w:rsid w:val="6C734478"/>
    <w:rsid w:val="6D965A50"/>
    <w:rsid w:val="6EE844E0"/>
    <w:rsid w:val="6F4D6A39"/>
    <w:rsid w:val="70981F36"/>
    <w:rsid w:val="70AE175A"/>
    <w:rsid w:val="71924BD7"/>
    <w:rsid w:val="73231CF3"/>
    <w:rsid w:val="732C4B81"/>
    <w:rsid w:val="73BA5622"/>
    <w:rsid w:val="73C4187C"/>
    <w:rsid w:val="748B71CF"/>
    <w:rsid w:val="75B3511C"/>
    <w:rsid w:val="75C857C9"/>
    <w:rsid w:val="76B949B4"/>
    <w:rsid w:val="76EC111A"/>
    <w:rsid w:val="77420E4E"/>
    <w:rsid w:val="77EE068E"/>
    <w:rsid w:val="790552A8"/>
    <w:rsid w:val="791D122B"/>
    <w:rsid w:val="7A4153ED"/>
    <w:rsid w:val="7C7601DF"/>
    <w:rsid w:val="7D5B08C6"/>
    <w:rsid w:val="7F2826D7"/>
    <w:rsid w:val="7FF47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basedOn w:val="1"/>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Strong"/>
    <w:basedOn w:val="1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5628</Words>
  <Characters>5910</Characters>
  <Lines>0</Lines>
  <Paragraphs>0</Paragraphs>
  <TotalTime>115</TotalTime>
  <ScaleCrop>false</ScaleCrop>
  <LinksUpToDate>false</LinksUpToDate>
  <CharactersWithSpaces>5952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2026-04-02T15:04:00Z</dcterms:created>
  <dc:creator>15317</dc:creator>
  <cp:lastModifiedBy>霆</cp:lastModifiedBy>
  <dcterms:modified xsi:type="dcterms:W3CDTF">2026-04-17T02:29:41Z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eyJoZGlkIjoiNzQ0OGYxYWIwNzVmYWZlNTNkMGI4ZGFlNzljMjljZmQiLCJ1c2VySWQiOiI3NDM0NDk4MzIifQ==</vt:lpwstr>
  </property>
  <property fmtid="{D5CDD505-2E9C-101B-9397-08002B2CF9AE}" pid="4" name="ICV">
    <vt:lpwstr>98169B6595DD4C3A90A61AA44340F05F_13</vt:lpwstr>
  </property>
</Properties>
</file>